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41" w:rsidRPr="001E0A15" w:rsidRDefault="001E0A15">
      <w:pPr>
        <w:rPr>
          <w:rFonts w:ascii="Times New Roman" w:hAnsi="Times New Roman" w:cs="Times New Roman"/>
          <w:sz w:val="28"/>
          <w:szCs w:val="28"/>
        </w:rPr>
      </w:pPr>
      <w:r w:rsidRPr="001E0A15">
        <w:rPr>
          <w:rFonts w:ascii="Times New Roman" w:hAnsi="Times New Roman" w:cs="Times New Roman"/>
          <w:sz w:val="28"/>
          <w:szCs w:val="28"/>
        </w:rPr>
        <w:t>Вопросы на экзамен 6 семестр</w:t>
      </w:r>
    </w:p>
    <w:p w:rsidR="00D76A04" w:rsidRDefault="00D76A04" w:rsidP="00D76A04">
      <w:pPr>
        <w:numPr>
          <w:ilvl w:val="0"/>
          <w:numId w:val="1"/>
        </w:numPr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графиков движения поездов.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Понятие о пропускной способности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Как рассчитывается пропускная способность перегонов при параллельном графике?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Расчет интервалов между поездами в пакете.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Расчет периода графика и пропускной способности при парном </w:t>
      </w:r>
      <w:proofErr w:type="spellStart"/>
      <w:r w:rsidRPr="001E0A15">
        <w:rPr>
          <w:sz w:val="28"/>
          <w:szCs w:val="28"/>
        </w:rPr>
        <w:t>непакетном</w:t>
      </w:r>
      <w:proofErr w:type="spellEnd"/>
      <w:r w:rsidRPr="001E0A15">
        <w:rPr>
          <w:sz w:val="28"/>
          <w:szCs w:val="28"/>
        </w:rPr>
        <w:t xml:space="preserve"> и парном пакетном графике.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Период и пропускная способность </w:t>
      </w:r>
      <w:proofErr w:type="spellStart"/>
      <w:r w:rsidRPr="001E0A15">
        <w:rPr>
          <w:sz w:val="28"/>
          <w:szCs w:val="28"/>
        </w:rPr>
        <w:t>двухпутных</w:t>
      </w:r>
      <w:proofErr w:type="spellEnd"/>
      <w:r w:rsidRPr="001E0A15">
        <w:rPr>
          <w:sz w:val="28"/>
          <w:szCs w:val="28"/>
        </w:rPr>
        <w:t xml:space="preserve"> вставок.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Расчет периода графика и пропускной способности парного частично-пакетного графика.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Расчет периода графика и пропускной способности при непарном частично-пакетном графике.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Виды съема грузовых поездов пассажирскими поездами.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Виды съема грузовых поездов другими категориями поездов.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Коэффициент съема, определение и расчет.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Коэффициент съема для однопутных участков при различных средствах связи.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Коэффициент съема для </w:t>
      </w:r>
      <w:proofErr w:type="spellStart"/>
      <w:r w:rsidRPr="001E0A15">
        <w:rPr>
          <w:sz w:val="28"/>
          <w:szCs w:val="28"/>
        </w:rPr>
        <w:t>двухпутных</w:t>
      </w:r>
      <w:proofErr w:type="spellEnd"/>
      <w:r w:rsidRPr="001E0A15">
        <w:rPr>
          <w:sz w:val="28"/>
          <w:szCs w:val="28"/>
        </w:rPr>
        <w:t xml:space="preserve"> участков при различных средствах связи.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Влияние прокладки пассажирских поездов на коэффициент съема.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Как определяется съем грузовых поездов сборными поездами?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Определение участковой скорости?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Факторы, влияющие на участковую скорость.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Расчет показателей ГДП.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Аналитический способ определения участковой скорости движения грузовых поездов при различных прокладках ГДП.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Диспетчерское руководство движением поездов.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Организация тягового обслуживания поездов локомотивами.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Потребное количество локомотивов на заданные размеры движения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Наличная пропускная способность.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Потребная пропускная способность.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Что такое провозная способность?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Расчет провозной способности (однопутный, </w:t>
      </w:r>
      <w:proofErr w:type="spellStart"/>
      <w:r w:rsidRPr="001E0A15">
        <w:rPr>
          <w:sz w:val="28"/>
          <w:szCs w:val="28"/>
        </w:rPr>
        <w:t>двухпутный</w:t>
      </w:r>
      <w:proofErr w:type="spellEnd"/>
      <w:r w:rsidRPr="001E0A15">
        <w:rPr>
          <w:sz w:val="28"/>
          <w:szCs w:val="28"/>
        </w:rPr>
        <w:t xml:space="preserve"> перегон)?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Способы увеличения пропускной способности.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Способы увеличения провозной способности.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Методы повышения массы грузовых поездов.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Выбор </w:t>
      </w:r>
      <w:proofErr w:type="spellStart"/>
      <w:r w:rsidRPr="001E0A15">
        <w:rPr>
          <w:sz w:val="28"/>
          <w:szCs w:val="28"/>
        </w:rPr>
        <w:t>наивыгоднейшей</w:t>
      </w:r>
      <w:proofErr w:type="spellEnd"/>
      <w:r w:rsidRPr="001E0A15">
        <w:rPr>
          <w:sz w:val="28"/>
          <w:szCs w:val="28"/>
        </w:rPr>
        <w:t xml:space="preserve"> массы грузового поезда при заданном типе локомотива.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Выбор массы поезда на направлении по длине приемоотправочных путей и мощности локомотивов. </w:t>
      </w:r>
    </w:p>
    <w:p w:rsidR="001E0A15" w:rsidRPr="001E0A15" w:rsidRDefault="001E0A15" w:rsidP="00D76A04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1E0A15">
        <w:rPr>
          <w:sz w:val="28"/>
          <w:szCs w:val="28"/>
        </w:rPr>
        <w:t xml:space="preserve">Унификация норм массы поездов. </w:t>
      </w:r>
    </w:p>
    <w:p w:rsidR="001E0A15" w:rsidRPr="00D76A04" w:rsidRDefault="001E0A15" w:rsidP="00D76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A04">
        <w:rPr>
          <w:rFonts w:ascii="Times New Roman" w:hAnsi="Times New Roman" w:cs="Times New Roman"/>
          <w:sz w:val="28"/>
          <w:szCs w:val="28"/>
        </w:rPr>
        <w:lastRenderedPageBreak/>
        <w:t>Организация движения поездов повышенной массы и длины, соединенных.</w:t>
      </w:r>
    </w:p>
    <w:sectPr w:rsidR="001E0A15" w:rsidRPr="00D76A04" w:rsidSect="009D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4725"/>
    <w:multiLevelType w:val="hybridMultilevel"/>
    <w:tmpl w:val="36BA0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0A15"/>
    <w:rsid w:val="001E0A15"/>
    <w:rsid w:val="008D5C16"/>
    <w:rsid w:val="00935120"/>
    <w:rsid w:val="009D2F41"/>
    <w:rsid w:val="00C76E2A"/>
    <w:rsid w:val="00D7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A1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76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2021-05-30T14:57:00Z</dcterms:created>
  <dcterms:modified xsi:type="dcterms:W3CDTF">2022-05-06T11:24:00Z</dcterms:modified>
</cp:coreProperties>
</file>