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2C2F" w14:textId="5F98A8A0" w:rsidR="00226B72" w:rsidRPr="005A60A4" w:rsidRDefault="005A60A4" w:rsidP="005A60A4">
      <w:pPr>
        <w:spacing w:after="0"/>
        <w:jc w:val="center"/>
        <w:rPr>
          <w:rFonts w:ascii="Times New Roman" w:hAnsi="Times New Roman" w:cs="Times New Roman"/>
          <w:b/>
          <w:bCs/>
          <w:sz w:val="24"/>
          <w:szCs w:val="24"/>
        </w:rPr>
      </w:pPr>
      <w:r w:rsidRPr="005A60A4">
        <w:rPr>
          <w:rFonts w:ascii="Times New Roman" w:hAnsi="Times New Roman" w:cs="Times New Roman"/>
          <w:b/>
          <w:bCs/>
          <w:sz w:val="24"/>
          <w:szCs w:val="24"/>
        </w:rPr>
        <w:t>Практическое занятие 3</w:t>
      </w:r>
    </w:p>
    <w:p w14:paraId="5BB3B0EB" w14:textId="7E7D64AA" w:rsidR="005A60A4" w:rsidRPr="005A60A4" w:rsidRDefault="005A60A4" w:rsidP="005A60A4">
      <w:pPr>
        <w:shd w:val="clear" w:color="auto" w:fill="F9F9F7"/>
        <w:spacing w:after="0" w:line="240" w:lineRule="auto"/>
        <w:ind w:firstLine="4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1вопрос. </w:t>
      </w:r>
      <w:r w:rsidRPr="005A60A4">
        <w:rPr>
          <w:rFonts w:ascii="Times New Roman" w:eastAsia="Times New Roman" w:hAnsi="Times New Roman" w:cs="Times New Roman"/>
          <w:b/>
          <w:bCs/>
          <w:color w:val="000000"/>
          <w:sz w:val="24"/>
          <w:szCs w:val="24"/>
          <w:lang w:eastAsia="ru-RU"/>
        </w:rPr>
        <w:t>Стратегии интеграционного развития корпораций</w:t>
      </w:r>
    </w:p>
    <w:p w14:paraId="2E9158EA" w14:textId="190CD43D" w:rsidR="005A60A4" w:rsidRDefault="005A60A4" w:rsidP="005A60A4">
      <w:pPr>
        <w:shd w:val="clear" w:color="auto" w:fill="F9F9F7"/>
        <w:spacing w:after="0" w:line="240" w:lineRule="auto"/>
        <w:ind w:firstLine="432"/>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Корпорация</w:t>
      </w:r>
      <w:r>
        <w:rPr>
          <w:rFonts w:ascii="Times New Roman" w:eastAsia="Times New Roman" w:hAnsi="Times New Roman" w:cs="Times New Roman"/>
          <w:color w:val="000000"/>
          <w:sz w:val="24"/>
          <w:szCs w:val="24"/>
          <w:lang w:eastAsia="ru-RU"/>
        </w:rPr>
        <w:t>,</w:t>
      </w:r>
      <w:r w:rsidRPr="005A60A4">
        <w:rPr>
          <w:rFonts w:ascii="Times New Roman" w:eastAsia="Times New Roman" w:hAnsi="Times New Roman" w:cs="Times New Roman"/>
          <w:color w:val="000000"/>
          <w:sz w:val="24"/>
          <w:szCs w:val="24"/>
          <w:lang w:eastAsia="ru-RU"/>
        </w:rPr>
        <w:t xml:space="preserve"> принявшая в качестве своей цели интегрирование, осуществляет реализацию определенных этапов реализации интеграционной стратегии. </w:t>
      </w:r>
    </w:p>
    <w:p w14:paraId="179702DD" w14:textId="563AC3E8" w:rsidR="005A60A4" w:rsidRPr="005A60A4" w:rsidRDefault="005A60A4" w:rsidP="005A60A4">
      <w:pPr>
        <w:shd w:val="clear" w:color="auto" w:fill="F9F9F7"/>
        <w:spacing w:after="0" w:line="240" w:lineRule="auto"/>
        <w:ind w:firstLine="432"/>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Укрупнено, интеграционная стратегия развития корпорации подразделяется на три этапа реализации (Рис.1).</w:t>
      </w:r>
    </w:p>
    <w:tbl>
      <w:tblPr>
        <w:tblW w:w="0" w:type="auto"/>
        <w:tblCellSpacing w:w="15" w:type="dxa"/>
        <w:shd w:val="clear" w:color="auto" w:fill="F9F9F7"/>
        <w:tblCellMar>
          <w:top w:w="15" w:type="dxa"/>
          <w:left w:w="15" w:type="dxa"/>
          <w:bottom w:w="15" w:type="dxa"/>
          <w:right w:w="15" w:type="dxa"/>
        </w:tblCellMar>
        <w:tblLook w:val="04A0" w:firstRow="1" w:lastRow="0" w:firstColumn="1" w:lastColumn="0" w:noHBand="0" w:noVBand="1"/>
      </w:tblPr>
      <w:tblGrid>
        <w:gridCol w:w="5201"/>
        <w:gridCol w:w="966"/>
        <w:gridCol w:w="1189"/>
        <w:gridCol w:w="999"/>
        <w:gridCol w:w="992"/>
      </w:tblGrid>
      <w:tr w:rsidR="005A60A4" w:rsidRPr="005A60A4" w14:paraId="3AC9D6F0" w14:textId="77777777" w:rsidTr="005A60A4">
        <w:trPr>
          <w:tblCellSpacing w:w="15" w:type="dxa"/>
        </w:trPr>
        <w:tc>
          <w:tcPr>
            <w:tcW w:w="2040" w:type="dxa"/>
            <w:vMerge w:val="restart"/>
            <w:tcBorders>
              <w:top w:val="nil"/>
              <w:left w:val="nil"/>
              <w:bottom w:val="nil"/>
              <w:right w:val="nil"/>
            </w:tcBorders>
            <w:shd w:val="clear" w:color="auto" w:fill="F9F9F7"/>
            <w:hideMark/>
          </w:tcPr>
          <w:p w14:paraId="17558372"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1 этап</w:t>
            </w:r>
          </w:p>
          <w:p w14:paraId="46A077DE"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Организационное проектирование</w:t>
            </w:r>
          </w:p>
          <w:p w14:paraId="1523561E"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/разработка стратегии интеграционного развития/</w:t>
            </w:r>
          </w:p>
        </w:tc>
        <w:tc>
          <w:tcPr>
            <w:tcW w:w="3975" w:type="dxa"/>
            <w:gridSpan w:val="2"/>
            <w:tcBorders>
              <w:top w:val="single" w:sz="6" w:space="0" w:color="000000"/>
              <w:left w:val="single" w:sz="6" w:space="0" w:color="000000"/>
              <w:bottom w:val="nil"/>
              <w:right w:val="nil"/>
            </w:tcBorders>
            <w:shd w:val="clear" w:color="auto" w:fill="F9F9F7"/>
            <w:hideMark/>
          </w:tcPr>
          <w:p w14:paraId="07AB87E8"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Стратегия расширения</w:t>
            </w:r>
          </w:p>
          <w:p w14:paraId="5A897BF0"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расширение и развитие направлений производства</w:t>
            </w:r>
          </w:p>
          <w:p w14:paraId="676489EA" w14:textId="6FC6A145"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55FC5558" wp14:editId="1C6F2AB8">
                  <wp:simplePos x="0" y="0"/>
                  <wp:positionH relativeFrom="column">
                    <wp:align>left</wp:align>
                  </wp:positionH>
                  <wp:positionV relativeFrom="line">
                    <wp:posOffset>0</wp:posOffset>
                  </wp:positionV>
                  <wp:extent cx="390525" cy="29527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4C63034F" wp14:editId="629AB9B8">
                  <wp:simplePos x="0" y="0"/>
                  <wp:positionH relativeFrom="column">
                    <wp:align>left</wp:align>
                  </wp:positionH>
                  <wp:positionV relativeFrom="line">
                    <wp:posOffset>0</wp:posOffset>
                  </wp:positionV>
                  <wp:extent cx="390525" cy="295275"/>
                  <wp:effectExtent l="0" t="0" r="9525" b="952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0" w:type="dxa"/>
            <w:gridSpan w:val="2"/>
            <w:tcBorders>
              <w:top w:val="single" w:sz="6" w:space="0" w:color="000000"/>
              <w:left w:val="single" w:sz="6" w:space="0" w:color="000000"/>
              <w:bottom w:val="nil"/>
              <w:right w:val="single" w:sz="6" w:space="0" w:color="000000"/>
            </w:tcBorders>
            <w:shd w:val="clear" w:color="auto" w:fill="F9F9F7"/>
            <w:tcMar>
              <w:top w:w="0" w:type="dxa"/>
              <w:left w:w="115" w:type="dxa"/>
              <w:bottom w:w="0" w:type="dxa"/>
              <w:right w:w="115" w:type="dxa"/>
            </w:tcMar>
            <w:hideMark/>
          </w:tcPr>
          <w:p w14:paraId="170BCD26" w14:textId="4D2DED5F"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С</w:t>
            </w: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0D82CE96" wp14:editId="5C373660">
                  <wp:simplePos x="0" y="0"/>
                  <wp:positionH relativeFrom="column">
                    <wp:align>left</wp:align>
                  </wp:positionH>
                  <wp:positionV relativeFrom="line">
                    <wp:posOffset>0</wp:posOffset>
                  </wp:positionV>
                  <wp:extent cx="295275" cy="200025"/>
                  <wp:effectExtent l="0" t="0" r="9525"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6E3BFEA5" wp14:editId="5DF0A849">
                  <wp:simplePos x="0" y="0"/>
                  <wp:positionH relativeFrom="column">
                    <wp:align>left</wp:align>
                  </wp:positionH>
                  <wp:positionV relativeFrom="line">
                    <wp:posOffset>0</wp:posOffset>
                  </wp:positionV>
                  <wp:extent cx="295275" cy="20002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0A4">
              <w:rPr>
                <w:rFonts w:ascii="Times New Roman" w:eastAsia="Times New Roman" w:hAnsi="Times New Roman" w:cs="Times New Roman"/>
                <w:color w:val="000000"/>
                <w:sz w:val="24"/>
                <w:szCs w:val="24"/>
                <w:lang w:eastAsia="ru-RU"/>
              </w:rPr>
              <w:t>тратегия рационализации рациональное сужение направлений деятельности</w:t>
            </w:r>
          </w:p>
        </w:tc>
      </w:tr>
      <w:tr w:rsidR="005A60A4" w:rsidRPr="005A60A4" w14:paraId="5A391FED" w14:textId="77777777" w:rsidTr="005A60A4">
        <w:trPr>
          <w:tblCellSpacing w:w="15" w:type="dxa"/>
        </w:trPr>
        <w:tc>
          <w:tcPr>
            <w:tcW w:w="0" w:type="auto"/>
            <w:vMerge/>
            <w:tcBorders>
              <w:top w:val="nil"/>
              <w:left w:val="nil"/>
              <w:bottom w:val="nil"/>
              <w:right w:val="nil"/>
            </w:tcBorders>
            <w:shd w:val="clear" w:color="auto" w:fill="F9F9F7"/>
            <w:hideMark/>
          </w:tcPr>
          <w:p w14:paraId="6C478E80" w14:textId="77777777" w:rsidR="005A60A4" w:rsidRPr="005A60A4" w:rsidRDefault="005A60A4" w:rsidP="005A60A4">
            <w:pPr>
              <w:spacing w:after="0" w:line="240" w:lineRule="auto"/>
              <w:rPr>
                <w:rFonts w:ascii="Times New Roman" w:eastAsia="Times New Roman" w:hAnsi="Times New Roman" w:cs="Times New Roman"/>
                <w:color w:val="000000"/>
                <w:sz w:val="24"/>
                <w:szCs w:val="24"/>
                <w:lang w:eastAsia="ru-RU"/>
              </w:rPr>
            </w:pPr>
          </w:p>
        </w:tc>
        <w:tc>
          <w:tcPr>
            <w:tcW w:w="1530" w:type="dxa"/>
            <w:tcBorders>
              <w:top w:val="nil"/>
              <w:left w:val="single" w:sz="6" w:space="0" w:color="000000"/>
              <w:bottom w:val="nil"/>
              <w:right w:val="nil"/>
            </w:tcBorders>
            <w:shd w:val="clear" w:color="auto" w:fill="F9F9F7"/>
            <w:hideMark/>
          </w:tcPr>
          <w:p w14:paraId="1032B220"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внутренний рост</w:t>
            </w:r>
          </w:p>
          <w:p w14:paraId="03E81F37"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при достаточности собственных ресурсов</w:t>
            </w:r>
          </w:p>
        </w:tc>
        <w:tc>
          <w:tcPr>
            <w:tcW w:w="2205" w:type="dxa"/>
            <w:tcBorders>
              <w:top w:val="nil"/>
              <w:left w:val="single" w:sz="6" w:space="0" w:color="000000"/>
              <w:bottom w:val="nil"/>
              <w:right w:val="nil"/>
            </w:tcBorders>
            <w:shd w:val="clear" w:color="auto" w:fill="F9F9F7"/>
            <w:hideMark/>
          </w:tcPr>
          <w:p w14:paraId="7B022D2F"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стратегическое партнерство</w:t>
            </w:r>
          </w:p>
          <w:p w14:paraId="1D8C6AB9"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при предпочтительности совместного ведения проекта</w:t>
            </w:r>
          </w:p>
        </w:tc>
        <w:tc>
          <w:tcPr>
            <w:tcW w:w="1665" w:type="dxa"/>
            <w:tcBorders>
              <w:top w:val="nil"/>
              <w:left w:val="single" w:sz="6" w:space="0" w:color="000000"/>
              <w:bottom w:val="nil"/>
              <w:right w:val="nil"/>
            </w:tcBorders>
            <w:shd w:val="clear" w:color="auto" w:fill="F9F9F7"/>
            <w:hideMark/>
          </w:tcPr>
          <w:p w14:paraId="2EE6FE6B"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ликвидация</w:t>
            </w:r>
          </w:p>
          <w:p w14:paraId="6EBB2616"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прекращение осуществления проекта в рамках предприятия</w:t>
            </w:r>
          </w:p>
        </w:tc>
        <w:tc>
          <w:tcPr>
            <w:tcW w:w="1335" w:type="dxa"/>
            <w:tcBorders>
              <w:top w:val="nil"/>
              <w:left w:val="single" w:sz="6" w:space="0" w:color="000000"/>
              <w:bottom w:val="nil"/>
              <w:right w:val="single" w:sz="6" w:space="0" w:color="000000"/>
            </w:tcBorders>
            <w:shd w:val="clear" w:color="auto" w:fill="F9F9F7"/>
            <w:tcMar>
              <w:top w:w="0" w:type="dxa"/>
              <w:left w:w="115" w:type="dxa"/>
              <w:bottom w:w="0" w:type="dxa"/>
              <w:right w:w="115" w:type="dxa"/>
            </w:tcMar>
            <w:hideMark/>
          </w:tcPr>
          <w:p w14:paraId="1CB10451"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обособление отделение стратегичес-</w:t>
            </w:r>
          </w:p>
          <w:p w14:paraId="4DFF67AC"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ких активов в разряд побочного бизнеса</w:t>
            </w:r>
          </w:p>
        </w:tc>
      </w:tr>
      <w:tr w:rsidR="005A60A4" w:rsidRPr="005A60A4" w14:paraId="22E179AE" w14:textId="77777777" w:rsidTr="005A60A4">
        <w:trPr>
          <w:trHeight w:val="1635"/>
          <w:tblCellSpacing w:w="15" w:type="dxa"/>
        </w:trPr>
        <w:tc>
          <w:tcPr>
            <w:tcW w:w="2040" w:type="dxa"/>
            <w:tcBorders>
              <w:top w:val="nil"/>
              <w:left w:val="nil"/>
              <w:bottom w:val="nil"/>
              <w:right w:val="nil"/>
            </w:tcBorders>
            <w:shd w:val="clear" w:color="auto" w:fill="F9F9F7"/>
            <w:hideMark/>
          </w:tcPr>
          <w:p w14:paraId="5C8ABD42" w14:textId="791EC650"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2</w:t>
            </w: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0EA4FBF3" wp14:editId="77F7D121">
                  <wp:simplePos x="0" y="0"/>
                  <wp:positionH relativeFrom="column">
                    <wp:align>left</wp:align>
                  </wp:positionH>
                  <wp:positionV relativeFrom="line">
                    <wp:posOffset>0</wp:posOffset>
                  </wp:positionV>
                  <wp:extent cx="6038850" cy="19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0A4">
              <w:rPr>
                <w:rFonts w:ascii="Times New Roman" w:eastAsia="Times New Roman" w:hAnsi="Times New Roman" w:cs="Times New Roman"/>
                <w:color w:val="000000"/>
                <w:sz w:val="24"/>
                <w:szCs w:val="24"/>
                <w:lang w:eastAsia="ru-RU"/>
              </w:rPr>
              <w:t> этап</w:t>
            </w:r>
          </w:p>
          <w:p w14:paraId="518B77F9"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Реализация проекта /осуществление процедуры интеграции в выбранном направлении/</w:t>
            </w:r>
          </w:p>
        </w:tc>
        <w:tc>
          <w:tcPr>
            <w:tcW w:w="3975" w:type="dxa"/>
            <w:gridSpan w:val="2"/>
            <w:tcBorders>
              <w:top w:val="nil"/>
              <w:left w:val="single" w:sz="6" w:space="0" w:color="000000"/>
              <w:bottom w:val="nil"/>
              <w:right w:val="nil"/>
            </w:tcBorders>
            <w:shd w:val="clear" w:color="auto" w:fill="F9F9F7"/>
            <w:hideMark/>
          </w:tcPr>
          <w:p w14:paraId="6E8673FB" w14:textId="77777777" w:rsidR="005A60A4" w:rsidRPr="005A60A4" w:rsidRDefault="005A60A4" w:rsidP="005A60A4">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слияние</w:t>
            </w:r>
          </w:p>
          <w:p w14:paraId="371C4CEF" w14:textId="77777777" w:rsidR="005A60A4" w:rsidRPr="005A60A4" w:rsidRDefault="005A60A4" w:rsidP="005A60A4">
            <w:pPr>
              <w:numPr>
                <w:ilvl w:val="0"/>
                <w:numId w:val="1"/>
              </w:numPr>
              <w:pBdr>
                <w:top w:val="single" w:sz="6" w:space="4" w:color="auto"/>
                <w:left w:val="single" w:sz="6" w:space="4" w:color="auto"/>
                <w:bottom w:val="single" w:sz="6" w:space="4" w:color="auto"/>
                <w:right w:val="single" w:sz="6" w:space="4" w:color="auto"/>
              </w:pBd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присоединение</w:t>
            </w:r>
          </w:p>
        </w:tc>
        <w:tc>
          <w:tcPr>
            <w:tcW w:w="1665" w:type="dxa"/>
            <w:tcBorders>
              <w:top w:val="nil"/>
              <w:left w:val="single" w:sz="6" w:space="0" w:color="000000"/>
              <w:bottom w:val="nil"/>
              <w:right w:val="nil"/>
            </w:tcBorders>
            <w:shd w:val="clear" w:color="auto" w:fill="F9F9F7"/>
            <w:hideMark/>
          </w:tcPr>
          <w:p w14:paraId="53C04444" w14:textId="77777777" w:rsidR="005A60A4" w:rsidRPr="005A60A4" w:rsidRDefault="005A60A4" w:rsidP="005A60A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ликвидация</w:t>
            </w:r>
          </w:p>
          <w:p w14:paraId="1207BD92" w14:textId="77777777" w:rsidR="005A60A4" w:rsidRPr="005A60A4" w:rsidRDefault="005A60A4" w:rsidP="005A60A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преобразова-ние</w:t>
            </w:r>
          </w:p>
        </w:tc>
        <w:tc>
          <w:tcPr>
            <w:tcW w:w="1335" w:type="dxa"/>
            <w:tcBorders>
              <w:top w:val="nil"/>
              <w:left w:val="single" w:sz="6" w:space="0" w:color="000000"/>
              <w:bottom w:val="nil"/>
              <w:right w:val="single" w:sz="6" w:space="0" w:color="000000"/>
            </w:tcBorders>
            <w:shd w:val="clear" w:color="auto" w:fill="F9F9F7"/>
            <w:tcMar>
              <w:top w:w="0" w:type="dxa"/>
              <w:left w:w="115" w:type="dxa"/>
              <w:bottom w:w="0" w:type="dxa"/>
              <w:right w:w="115" w:type="dxa"/>
            </w:tcMar>
            <w:hideMark/>
          </w:tcPr>
          <w:p w14:paraId="4E004DD9" w14:textId="77777777" w:rsidR="005A60A4" w:rsidRPr="005A60A4" w:rsidRDefault="005A60A4" w:rsidP="005A60A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разделение</w:t>
            </w:r>
          </w:p>
          <w:p w14:paraId="7CB7666E" w14:textId="77777777" w:rsidR="005A60A4" w:rsidRPr="005A60A4" w:rsidRDefault="005A60A4" w:rsidP="005A60A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выделение</w:t>
            </w:r>
          </w:p>
        </w:tc>
      </w:tr>
      <w:tr w:rsidR="005A60A4" w:rsidRPr="005A60A4" w14:paraId="1290B422" w14:textId="77777777" w:rsidTr="005A60A4">
        <w:trPr>
          <w:tblCellSpacing w:w="15" w:type="dxa"/>
        </w:trPr>
        <w:tc>
          <w:tcPr>
            <w:tcW w:w="2040" w:type="dxa"/>
            <w:tcBorders>
              <w:top w:val="nil"/>
              <w:left w:val="nil"/>
              <w:bottom w:val="nil"/>
              <w:right w:val="nil"/>
            </w:tcBorders>
            <w:shd w:val="clear" w:color="auto" w:fill="F9F9F7"/>
            <w:hideMark/>
          </w:tcPr>
          <w:p w14:paraId="3F05DB75" w14:textId="2B13A270"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3</w:t>
            </w:r>
            <w:r w:rsidRPr="005A60A4">
              <w:rPr>
                <w:rFonts w:ascii="Times New Roman" w:eastAsia="Times New Roman" w:hAnsi="Times New Roman" w:cs="Times New Roman"/>
                <w:noProof/>
                <w:color w:val="000000"/>
                <w:sz w:val="24"/>
                <w:szCs w:val="24"/>
                <w:lang w:eastAsia="ru-RU"/>
              </w:rPr>
              <w:drawing>
                <wp:anchor distT="0" distB="0" distL="123825" distR="123825" simplePos="0" relativeHeight="251658240" behindDoc="0" locked="0" layoutInCell="1" allowOverlap="0" wp14:anchorId="6A62646E" wp14:editId="22762FC7">
                  <wp:simplePos x="0" y="0"/>
                  <wp:positionH relativeFrom="column">
                    <wp:align>left</wp:align>
                  </wp:positionH>
                  <wp:positionV relativeFrom="line">
                    <wp:posOffset>0</wp:posOffset>
                  </wp:positionV>
                  <wp:extent cx="6162675" cy="19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0A4">
              <w:rPr>
                <w:rFonts w:ascii="Times New Roman" w:eastAsia="Times New Roman" w:hAnsi="Times New Roman" w:cs="Times New Roman"/>
                <w:color w:val="000000"/>
                <w:sz w:val="24"/>
                <w:szCs w:val="24"/>
                <w:lang w:eastAsia="ru-RU"/>
              </w:rPr>
              <w:t> этап</w:t>
            </w:r>
          </w:p>
          <w:p w14:paraId="5EC0E9C6"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Мониторинг интеграционной деятельности /отслеживание результатов интеграции/</w:t>
            </w:r>
          </w:p>
        </w:tc>
        <w:tc>
          <w:tcPr>
            <w:tcW w:w="7455" w:type="dxa"/>
            <w:gridSpan w:val="4"/>
            <w:tcBorders>
              <w:top w:val="nil"/>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14:paraId="29D53BB4"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эффект масштаба</w:t>
            </w:r>
          </w:p>
          <w:p w14:paraId="74603C02"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эффект усреднения</w:t>
            </w:r>
          </w:p>
          <w:p w14:paraId="2AEB0DD7"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эффект экономии на трансакционных издержках</w:t>
            </w:r>
          </w:p>
          <w:p w14:paraId="167EC75A"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эффект синергии (суммирующий эффект взаимодействия двух или более факторов)</w:t>
            </w:r>
          </w:p>
          <w:p w14:paraId="18B27DCC" w14:textId="77777777" w:rsidR="005A60A4" w:rsidRPr="005A60A4" w:rsidRDefault="005A60A4" w:rsidP="005A60A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Получение эффекта приравнивается к появлению конкурентного преимущества.</w:t>
            </w:r>
          </w:p>
        </w:tc>
      </w:tr>
    </w:tbl>
    <w:p w14:paraId="545B3898"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Рис. 1. Типы интеграционных стратегий развития.</w:t>
      </w:r>
    </w:p>
    <w:p w14:paraId="4A96FA8E" w14:textId="3E4DDDFD"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lastRenderedPageBreak/>
        <w:t>Первый этап</w:t>
      </w:r>
      <w:r w:rsidRPr="005A60A4">
        <w:rPr>
          <w:rFonts w:ascii="Times New Roman" w:eastAsia="Times New Roman" w:hAnsi="Times New Roman" w:cs="Times New Roman"/>
          <w:color w:val="000000"/>
          <w:sz w:val="24"/>
          <w:szCs w:val="24"/>
          <w:lang w:eastAsia="ru-RU"/>
        </w:rPr>
        <w:t xml:space="preserve"> представляет собой</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b/>
          <w:bCs/>
          <w:i/>
          <w:iCs/>
          <w:color w:val="000000"/>
          <w:sz w:val="24"/>
          <w:szCs w:val="24"/>
          <w:lang w:eastAsia="ru-RU"/>
        </w:rPr>
        <w:t>организационное проектирование</w:t>
      </w:r>
      <w:r w:rsidRPr="005A60A4">
        <w:rPr>
          <w:rFonts w:ascii="Times New Roman" w:eastAsia="Times New Roman" w:hAnsi="Times New Roman" w:cs="Times New Roman"/>
          <w:color w:val="000000"/>
          <w:sz w:val="24"/>
          <w:szCs w:val="24"/>
          <w:lang w:eastAsia="ru-RU"/>
        </w:rPr>
        <w:t>, здесь принимается решение об интеграции, разрабатываются стратегии, планируются процедуры реализации и т.д.</w:t>
      </w:r>
    </w:p>
    <w:p w14:paraId="1D170389"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Второй этап</w:t>
      </w:r>
      <w:r w:rsidRPr="005A60A4">
        <w:rPr>
          <w:rFonts w:ascii="Times New Roman" w:eastAsia="Times New Roman" w:hAnsi="Times New Roman" w:cs="Times New Roman"/>
          <w:color w:val="000000"/>
          <w:sz w:val="24"/>
          <w:szCs w:val="24"/>
          <w:lang w:eastAsia="ru-RU"/>
        </w:rPr>
        <w:t xml:space="preserve"> предполагает </w:t>
      </w:r>
      <w:r w:rsidRPr="005A60A4">
        <w:rPr>
          <w:rFonts w:ascii="Times New Roman" w:eastAsia="Times New Roman" w:hAnsi="Times New Roman" w:cs="Times New Roman"/>
          <w:b/>
          <w:bCs/>
          <w:i/>
          <w:iCs/>
          <w:color w:val="000000"/>
          <w:sz w:val="24"/>
          <w:szCs w:val="24"/>
          <w:lang w:eastAsia="ru-RU"/>
        </w:rPr>
        <w:t>реализацию проекта</w:t>
      </w:r>
      <w:r w:rsidRPr="005A60A4">
        <w:rPr>
          <w:rFonts w:ascii="Times New Roman" w:eastAsia="Times New Roman" w:hAnsi="Times New Roman" w:cs="Times New Roman"/>
          <w:color w:val="000000"/>
          <w:sz w:val="24"/>
          <w:szCs w:val="24"/>
          <w:lang w:eastAsia="ru-RU"/>
        </w:rPr>
        <w:t>, на основании разработанных планов и мер осуществляется процедура интеграции. Изменяется организационная структура компаний входящих в состав корпорации или самой корпорации, происходит трансформация производственных и управленческих связей.</w:t>
      </w:r>
    </w:p>
    <w:p w14:paraId="16EF7278"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На третьем этапе, </w:t>
      </w:r>
      <w:r w:rsidRPr="005A60A4">
        <w:rPr>
          <w:rFonts w:ascii="Times New Roman" w:eastAsia="Times New Roman" w:hAnsi="Times New Roman" w:cs="Times New Roman"/>
          <w:b/>
          <w:bCs/>
          <w:i/>
          <w:iCs/>
          <w:color w:val="000000"/>
          <w:sz w:val="24"/>
          <w:szCs w:val="24"/>
          <w:lang w:eastAsia="ru-RU"/>
        </w:rPr>
        <w:t>мониторинг интеграционной деятельности</w:t>
      </w:r>
      <w:r w:rsidRPr="005A60A4">
        <w:rPr>
          <w:rFonts w:ascii="Times New Roman" w:eastAsia="Times New Roman" w:hAnsi="Times New Roman" w:cs="Times New Roman"/>
          <w:color w:val="000000"/>
          <w:sz w:val="24"/>
          <w:szCs w:val="24"/>
          <w:lang w:eastAsia="ru-RU"/>
        </w:rPr>
        <w:t>, происходит контроль и отслеживание функционирования преобразованной корпорации, подводятся итоги и оцениваются результаты проделанной работы, дается экономическая оценка интеграции.</w:t>
      </w:r>
    </w:p>
    <w:p w14:paraId="7B0714F2"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Интеграционные процессы могут иметь разнонаправленный характер</w:t>
      </w:r>
      <w:r w:rsidRPr="005A60A4">
        <w:rPr>
          <w:rFonts w:ascii="Times New Roman" w:eastAsia="Times New Roman" w:hAnsi="Times New Roman" w:cs="Times New Roman"/>
          <w:color w:val="000000"/>
          <w:sz w:val="24"/>
          <w:szCs w:val="24"/>
          <w:lang w:eastAsia="ru-RU"/>
        </w:rPr>
        <w:t>:</w:t>
      </w:r>
    </w:p>
    <w:p w14:paraId="59BB8053"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расширение деятельности за счет собственных источников тре</w:t>
      </w:r>
      <w:r w:rsidRPr="005A60A4">
        <w:rPr>
          <w:rFonts w:ascii="Times New Roman" w:eastAsia="Times New Roman" w:hAnsi="Times New Roman" w:cs="Times New Roman"/>
          <w:color w:val="000000"/>
          <w:sz w:val="24"/>
          <w:szCs w:val="24"/>
          <w:lang w:eastAsia="ru-RU"/>
        </w:rPr>
        <w:softHyphen/>
        <w:t>бует дополнительных эмиссий, кредитования под залог акций, из</w:t>
      </w:r>
      <w:r w:rsidRPr="005A60A4">
        <w:rPr>
          <w:rFonts w:ascii="Times New Roman" w:eastAsia="Times New Roman" w:hAnsi="Times New Roman" w:cs="Times New Roman"/>
          <w:color w:val="000000"/>
          <w:sz w:val="24"/>
          <w:szCs w:val="24"/>
          <w:lang w:eastAsia="ru-RU"/>
        </w:rPr>
        <w:softHyphen/>
        <w:t>менений в структуре голосующих акций, использования производных инструментов фондового рынка и т.д.;</w:t>
      </w:r>
    </w:p>
    <w:p w14:paraId="0936C619"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рационализация предполагает ранжирование потенциала активов в соответствии с программой развития корпорации и производится их разнесение по компаниям по степени значимо</w:t>
      </w:r>
      <w:r w:rsidRPr="005A60A4">
        <w:rPr>
          <w:rFonts w:ascii="Times New Roman" w:eastAsia="Times New Roman" w:hAnsi="Times New Roman" w:cs="Times New Roman"/>
          <w:color w:val="000000"/>
          <w:sz w:val="24"/>
          <w:szCs w:val="24"/>
          <w:lang w:eastAsia="ru-RU"/>
        </w:rPr>
        <w:softHyphen/>
        <w:t>сти. Следствием является установление отношений финансового холдинга, то есть не попавший в ранг приоритетного бизнес-про</w:t>
      </w:r>
      <w:r w:rsidRPr="005A60A4">
        <w:rPr>
          <w:rFonts w:ascii="Times New Roman" w:eastAsia="Times New Roman" w:hAnsi="Times New Roman" w:cs="Times New Roman"/>
          <w:color w:val="000000"/>
          <w:sz w:val="24"/>
          <w:szCs w:val="24"/>
          <w:lang w:eastAsia="ru-RU"/>
        </w:rPr>
        <w:softHyphen/>
        <w:t>ект остается в рамках корпорации, обычно на условиях организационно-правового оформления юридического лица. Такое обособление целесообразно, когда бизнес недооценен, его про</w:t>
      </w:r>
      <w:r w:rsidRPr="005A60A4">
        <w:rPr>
          <w:rFonts w:ascii="Times New Roman" w:eastAsia="Times New Roman" w:hAnsi="Times New Roman" w:cs="Times New Roman"/>
          <w:color w:val="000000"/>
          <w:sz w:val="24"/>
          <w:szCs w:val="24"/>
          <w:lang w:eastAsia="ru-RU"/>
        </w:rPr>
        <w:softHyphen/>
        <w:t>дажа в настоящий момент не является выгодной. Или же корпорация намерена заняться таким бизнес-проектом по завершении других. Третьей причиной обособления может быть неблагоприятная рыноч</w:t>
      </w:r>
      <w:r w:rsidRPr="005A60A4">
        <w:rPr>
          <w:rFonts w:ascii="Times New Roman" w:eastAsia="Times New Roman" w:hAnsi="Times New Roman" w:cs="Times New Roman"/>
          <w:color w:val="000000"/>
          <w:sz w:val="24"/>
          <w:szCs w:val="24"/>
          <w:lang w:eastAsia="ru-RU"/>
        </w:rPr>
        <w:softHyphen/>
        <w:t>ная конъюнктура, бизнес остается «про запас».</w:t>
      </w:r>
    </w:p>
    <w:p w14:paraId="155A6DAC"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Реализация проекта происходит согласно регламентированной законодательством соответствующей процедуре.</w:t>
      </w:r>
    </w:p>
    <w:p w14:paraId="492E28FD"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1. Слияние (ст. 16. ФЗ «Об АО»). Слиянием признается возникновение нового общества путем передачи ему всех прав и обязанностей нескольких обществ, принявших решение о слиянии, с прекращением деятельности последних.</w:t>
      </w:r>
    </w:p>
    <w:p w14:paraId="0AE75305"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2. Присоединение (ст. 17. ФЗ «Об АО»). Присоединением признается прекращение деятельности общества с передачей всех прав и обязанностей другому обществу.</w:t>
      </w:r>
    </w:p>
    <w:p w14:paraId="6768A9E0"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3. Ликвидация (ст. 21. ФЗ «Об АО»). Ликвидация общества представляет собой прекращение деятельности общества без перехода прав и обязанностей к другим лицам.</w:t>
      </w:r>
    </w:p>
    <w:p w14:paraId="3549E605"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4. Преобразование (ст. 20. ФЗ «Об АО»). Общество может быть преобразовано в общество с ограниченной ответственностью, производственный кооператив и в некоммерческое партнерство.</w:t>
      </w:r>
    </w:p>
    <w:p w14:paraId="6F0A1A04"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5. Разделение (ст. 18. ФЗ «Об АО»). Разделением признается прекращение деятельности организации и передача всех ее прав и обязанностей вновь создаваемым обществам.</w:t>
      </w:r>
    </w:p>
    <w:p w14:paraId="7195013D"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6. Выделение (ст. 19. ФЗ «Об АО»). Выделением признается создание одного или нескольких обществ, которым передается часть прав и обязанностей организации их выделяющей, без прекращения деятельности последней.</w:t>
      </w:r>
    </w:p>
    <w:p w14:paraId="2CCB8E41" w14:textId="77777777" w:rsidR="005A60A4" w:rsidRDefault="005A60A4" w:rsidP="005A60A4">
      <w:pPr>
        <w:shd w:val="clear" w:color="auto" w:fill="F9F9F7"/>
        <w:tabs>
          <w:tab w:val="left" w:pos="1134"/>
        </w:tabs>
        <w:spacing w:after="0" w:line="276" w:lineRule="auto"/>
        <w:ind w:firstLine="709"/>
        <w:jc w:val="center"/>
        <w:rPr>
          <w:rFonts w:ascii="Times New Roman" w:eastAsia="Times New Roman" w:hAnsi="Times New Roman" w:cs="Times New Roman"/>
          <w:b/>
          <w:bCs/>
          <w:color w:val="000000"/>
          <w:sz w:val="24"/>
          <w:szCs w:val="24"/>
          <w:lang w:eastAsia="ru-RU"/>
        </w:rPr>
      </w:pPr>
    </w:p>
    <w:p w14:paraId="7C5D6FAD" w14:textId="2D27BD2B" w:rsidR="005A60A4" w:rsidRPr="005A60A4" w:rsidRDefault="005A60A4" w:rsidP="005A60A4">
      <w:pPr>
        <w:shd w:val="clear" w:color="auto" w:fill="F9F9F7"/>
        <w:tabs>
          <w:tab w:val="left" w:pos="1134"/>
        </w:tabs>
        <w:spacing w:after="0" w:line="276"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вопрос. </w:t>
      </w:r>
      <w:r w:rsidRPr="005A60A4">
        <w:rPr>
          <w:rFonts w:ascii="Times New Roman" w:eastAsia="Times New Roman" w:hAnsi="Times New Roman" w:cs="Times New Roman"/>
          <w:b/>
          <w:bCs/>
          <w:color w:val="000000"/>
          <w:sz w:val="24"/>
          <w:szCs w:val="24"/>
          <w:lang w:eastAsia="ru-RU"/>
        </w:rPr>
        <w:t>Виды и типы интеграции корпораций</w:t>
      </w:r>
    </w:p>
    <w:p w14:paraId="27923D0E"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b/>
          <w:bCs/>
          <w:color w:val="000000"/>
          <w:sz w:val="24"/>
          <w:szCs w:val="24"/>
          <w:lang w:eastAsia="ru-RU"/>
        </w:rPr>
      </w:pPr>
      <w:r w:rsidRPr="005A60A4">
        <w:rPr>
          <w:rFonts w:ascii="Times New Roman" w:eastAsia="Times New Roman" w:hAnsi="Times New Roman" w:cs="Times New Roman"/>
          <w:b/>
          <w:bCs/>
          <w:i/>
          <w:iCs/>
          <w:color w:val="000000"/>
          <w:sz w:val="24"/>
          <w:szCs w:val="24"/>
          <w:lang w:eastAsia="ru-RU"/>
        </w:rPr>
        <w:t>Виды интеграции корпораций</w:t>
      </w:r>
    </w:p>
    <w:p w14:paraId="303D09A5"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Из всего существующего многообразия интеграционных форм корпоративного бизнеса целесообразно выделить </w:t>
      </w:r>
      <w:r w:rsidRPr="005A60A4">
        <w:rPr>
          <w:rFonts w:ascii="Times New Roman" w:eastAsia="Times New Roman" w:hAnsi="Times New Roman" w:cs="Times New Roman"/>
          <w:color w:val="000000"/>
          <w:sz w:val="24"/>
          <w:szCs w:val="24"/>
          <w:u w:val="single"/>
          <w:lang w:eastAsia="ru-RU"/>
        </w:rPr>
        <w:t>горизонтально-интегрированные, вертикально-интегрированные и корпорации конгломератного типа.</w:t>
      </w:r>
    </w:p>
    <w:p w14:paraId="30A7C454" w14:textId="5C6786DC"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lastRenderedPageBreak/>
        <w:t>Корпоративные структуры, возникающие на основе</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b/>
          <w:bCs/>
          <w:i/>
          <w:iCs/>
          <w:color w:val="000000"/>
          <w:sz w:val="24"/>
          <w:szCs w:val="24"/>
          <w:lang w:eastAsia="ru-RU"/>
        </w:rPr>
        <w:t>горизонтального интегрирования</w:t>
      </w:r>
      <w:r w:rsidRPr="005A60A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color w:val="000000"/>
          <w:sz w:val="24"/>
          <w:szCs w:val="24"/>
          <w:lang w:eastAsia="ru-RU"/>
        </w:rPr>
        <w:t>отражают тенденцию объединения усилий предприятий одной отрасли. Ведь первоначально концентрация и централизация капитала находит отражение в укреплении хозяйствующих субъектов, в частности, путем привлечения дополнительного капитала за счет объединения однородных структур.</w:t>
      </w:r>
    </w:p>
    <w:p w14:paraId="2F2385A3"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Горизонтальная интеграция отражает объединение капиталов одной отрасли с одинаковыми воспроизводственными характеристиками, она не утратила своего значения в современных условиях России. В российской экономике возможности горизонтальной интеграции далеко не исчерпаны. Это является следствием недостаточного уровня концентрации капитала во многих отраслях, незавершенного развития сфер производства и сбыта однородной продукции. Для горизонтально интегрированных структур характерна форма объединения на основе общего управления. В данной системе горизонтальных связей отдельные корпоративные образования составляют часть более крупного образования.</w:t>
      </w:r>
    </w:p>
    <w:p w14:paraId="41ED9541"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На определенном этапе развития тенденция концентрации капитала распространяется на технологически связанные производства. Это обстоятельство находит отражение в развитии </w:t>
      </w:r>
      <w:r w:rsidRPr="005A60A4">
        <w:rPr>
          <w:rFonts w:ascii="Times New Roman" w:eastAsia="Times New Roman" w:hAnsi="Times New Roman" w:cs="Times New Roman"/>
          <w:b/>
          <w:bCs/>
          <w:i/>
          <w:iCs/>
          <w:color w:val="000000"/>
          <w:sz w:val="24"/>
          <w:szCs w:val="24"/>
          <w:lang w:eastAsia="ru-RU"/>
        </w:rPr>
        <w:t>вертикальной интеграции</w:t>
      </w:r>
      <w:r w:rsidRPr="005A60A4">
        <w:rPr>
          <w:rFonts w:ascii="Times New Roman" w:eastAsia="Times New Roman" w:hAnsi="Times New Roman" w:cs="Times New Roman"/>
          <w:i/>
          <w:iCs/>
          <w:color w:val="000000"/>
          <w:sz w:val="24"/>
          <w:szCs w:val="24"/>
          <w:lang w:eastAsia="ru-RU"/>
        </w:rPr>
        <w:t>.</w:t>
      </w:r>
      <w:r w:rsidRPr="005A60A4">
        <w:rPr>
          <w:rFonts w:ascii="Times New Roman" w:eastAsia="Times New Roman" w:hAnsi="Times New Roman" w:cs="Times New Roman"/>
          <w:color w:val="000000"/>
          <w:sz w:val="24"/>
          <w:szCs w:val="24"/>
          <w:lang w:eastAsia="ru-RU"/>
        </w:rPr>
        <w:t xml:space="preserve"> В широком смысле под вертикальной интеграцией понимается взаимодействие хозяйствующих субъектов корпоративной структуры, таким образом, когда продукт одной является исходным сырьем другой, то есть осуществление корпорацией производственных функций обеспечивается на основе последовательных организационных приемов, связанных с разработкой, производством и эффективным выходом на рынок технологически сложных товаров и услуг. </w:t>
      </w:r>
    </w:p>
    <w:p w14:paraId="23C65A9D"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При вертикальной интеграции образуется иерархия субподрядчиков разных уровней, поставляющих свою продукцию головной компании: </w:t>
      </w:r>
    </w:p>
    <w:p w14:paraId="091C20D6" w14:textId="77777777" w:rsidR="005A60A4" w:rsidRPr="005A60A4" w:rsidRDefault="005A60A4" w:rsidP="005A60A4">
      <w:pPr>
        <w:pStyle w:val="a4"/>
        <w:numPr>
          <w:ilvl w:val="0"/>
          <w:numId w:val="3"/>
        </w:numPr>
        <w:shd w:val="clear" w:color="auto" w:fill="F9F9F7"/>
        <w:tabs>
          <w:tab w:val="left" w:pos="1134"/>
        </w:tabs>
        <w:spacing w:after="0" w:line="276" w:lineRule="auto"/>
        <w:jc w:val="both"/>
        <w:rPr>
          <w:rFonts w:ascii="Times New Roman" w:eastAsia="Times New Roman" w:hAnsi="Times New Roman" w:cs="Times New Roman"/>
          <w:i/>
          <w:iCs/>
          <w:color w:val="000000"/>
          <w:sz w:val="24"/>
          <w:szCs w:val="24"/>
          <w:lang w:eastAsia="ru-RU"/>
        </w:rPr>
      </w:pPr>
      <w:r w:rsidRPr="005A60A4">
        <w:rPr>
          <w:rFonts w:ascii="Times New Roman" w:eastAsia="Times New Roman" w:hAnsi="Times New Roman" w:cs="Times New Roman"/>
          <w:i/>
          <w:iCs/>
          <w:color w:val="000000"/>
          <w:sz w:val="24"/>
          <w:szCs w:val="24"/>
          <w:lang w:eastAsia="ru-RU"/>
        </w:rPr>
        <w:t xml:space="preserve">заготовка (добыча), </w:t>
      </w:r>
    </w:p>
    <w:p w14:paraId="6CBBAAF3" w14:textId="77777777" w:rsidR="005A60A4" w:rsidRPr="005A60A4" w:rsidRDefault="005A60A4" w:rsidP="005A60A4">
      <w:pPr>
        <w:pStyle w:val="a4"/>
        <w:numPr>
          <w:ilvl w:val="0"/>
          <w:numId w:val="3"/>
        </w:numPr>
        <w:shd w:val="clear" w:color="auto" w:fill="F9F9F7"/>
        <w:tabs>
          <w:tab w:val="left" w:pos="1134"/>
        </w:tabs>
        <w:spacing w:after="0" w:line="276" w:lineRule="auto"/>
        <w:jc w:val="both"/>
        <w:rPr>
          <w:rFonts w:ascii="Times New Roman" w:eastAsia="Times New Roman" w:hAnsi="Times New Roman" w:cs="Times New Roman"/>
          <w:i/>
          <w:iCs/>
          <w:color w:val="000000"/>
          <w:sz w:val="24"/>
          <w:szCs w:val="24"/>
          <w:lang w:eastAsia="ru-RU"/>
        </w:rPr>
      </w:pPr>
      <w:r w:rsidRPr="005A60A4">
        <w:rPr>
          <w:rFonts w:ascii="Times New Roman" w:eastAsia="Times New Roman" w:hAnsi="Times New Roman" w:cs="Times New Roman"/>
          <w:i/>
          <w:iCs/>
          <w:color w:val="000000"/>
          <w:sz w:val="24"/>
          <w:szCs w:val="24"/>
          <w:lang w:eastAsia="ru-RU"/>
        </w:rPr>
        <w:t xml:space="preserve">переработка (обработка), </w:t>
      </w:r>
    </w:p>
    <w:p w14:paraId="11CEF1D9" w14:textId="77777777" w:rsidR="005A60A4" w:rsidRPr="005A60A4" w:rsidRDefault="005A60A4" w:rsidP="005A60A4">
      <w:pPr>
        <w:pStyle w:val="a4"/>
        <w:numPr>
          <w:ilvl w:val="0"/>
          <w:numId w:val="3"/>
        </w:numPr>
        <w:shd w:val="clear" w:color="auto" w:fill="F9F9F7"/>
        <w:tabs>
          <w:tab w:val="left" w:pos="1134"/>
        </w:tabs>
        <w:spacing w:after="0" w:line="276" w:lineRule="auto"/>
        <w:jc w:val="both"/>
        <w:rPr>
          <w:rFonts w:ascii="Times New Roman" w:eastAsia="Times New Roman" w:hAnsi="Times New Roman" w:cs="Times New Roman"/>
          <w:i/>
          <w:iCs/>
          <w:color w:val="000000"/>
          <w:sz w:val="24"/>
          <w:szCs w:val="24"/>
          <w:lang w:eastAsia="ru-RU"/>
        </w:rPr>
      </w:pPr>
      <w:r w:rsidRPr="005A60A4">
        <w:rPr>
          <w:rFonts w:ascii="Times New Roman" w:eastAsia="Times New Roman" w:hAnsi="Times New Roman" w:cs="Times New Roman"/>
          <w:i/>
          <w:iCs/>
          <w:color w:val="000000"/>
          <w:sz w:val="24"/>
          <w:szCs w:val="24"/>
          <w:lang w:eastAsia="ru-RU"/>
        </w:rPr>
        <w:t xml:space="preserve">производство конечной продукции, </w:t>
      </w:r>
    </w:p>
    <w:p w14:paraId="43B13433" w14:textId="77777777" w:rsidR="005A60A4" w:rsidRPr="005A60A4" w:rsidRDefault="005A60A4" w:rsidP="005A60A4">
      <w:pPr>
        <w:pStyle w:val="a4"/>
        <w:numPr>
          <w:ilvl w:val="0"/>
          <w:numId w:val="3"/>
        </w:numPr>
        <w:shd w:val="clear" w:color="auto" w:fill="F9F9F7"/>
        <w:tabs>
          <w:tab w:val="left" w:pos="1134"/>
        </w:tabs>
        <w:spacing w:after="0" w:line="276" w:lineRule="auto"/>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i/>
          <w:iCs/>
          <w:color w:val="000000"/>
          <w:sz w:val="24"/>
          <w:szCs w:val="24"/>
          <w:lang w:eastAsia="ru-RU"/>
        </w:rPr>
        <w:t>ее реализация</w:t>
      </w:r>
      <w:r w:rsidRPr="005A60A4">
        <w:rPr>
          <w:rFonts w:ascii="Times New Roman" w:eastAsia="Times New Roman" w:hAnsi="Times New Roman" w:cs="Times New Roman"/>
          <w:color w:val="000000"/>
          <w:sz w:val="24"/>
          <w:szCs w:val="24"/>
          <w:lang w:eastAsia="ru-RU"/>
        </w:rPr>
        <w:t xml:space="preserve">. </w:t>
      </w:r>
    </w:p>
    <w:p w14:paraId="00CA7DC2" w14:textId="4B20C84E"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В основе данного типа интеграции лежит технологическая взаимозависимость производственных процессов. Объединения, образуемые вертикальной интеграцией, можно охарактеризовать как организационно-управленческие, финансово-хозяйственные способы разработки, производства и эффективного выведения продукции на рынок.</w:t>
      </w:r>
    </w:p>
    <w:p w14:paraId="3DD05C90"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Вертикальная интеграция может развиваться в направлении охвата производства сырья в сочетании с производством основных продуктов. В хозяйственной практике ее иногда называют</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b/>
          <w:bCs/>
          <w:i/>
          <w:iCs/>
          <w:color w:val="000000"/>
          <w:sz w:val="24"/>
          <w:szCs w:val="24"/>
          <w:lang w:eastAsia="ru-RU"/>
        </w:rPr>
        <w:t>восходящей</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color w:val="000000"/>
          <w:sz w:val="24"/>
          <w:szCs w:val="24"/>
          <w:lang w:eastAsia="ru-RU"/>
        </w:rPr>
        <w:t xml:space="preserve">интеграцией. </w:t>
      </w:r>
    </w:p>
    <w:p w14:paraId="73473026" w14:textId="4D5E82E5"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i/>
          <w:iCs/>
          <w:color w:val="000000"/>
          <w:sz w:val="24"/>
          <w:szCs w:val="24"/>
          <w:lang w:eastAsia="ru-RU"/>
        </w:rPr>
      </w:pPr>
      <w:r w:rsidRPr="005A60A4">
        <w:rPr>
          <w:rFonts w:ascii="Times New Roman" w:eastAsia="Times New Roman" w:hAnsi="Times New Roman" w:cs="Times New Roman"/>
          <w:i/>
          <w:iCs/>
          <w:color w:val="000000"/>
          <w:sz w:val="24"/>
          <w:szCs w:val="24"/>
          <w:lang w:eastAsia="ru-RU"/>
        </w:rPr>
        <w:t>Например, в алюминиевой промышленности: добыча глиноземов, бокситов - производство металла; в шинном производстве: каучуковая плантация - шинный завод, в нефтяной промышленности: добыча нефти — производство нефтепродуктов и т.д. Если развитие вертикальной интеграции идет в направлении охвата системы сбыта - нисходящая интеграция: производство бензина - автозаправочные станции. Вертикальная интеграция может охватывать производство компонентов - комбинирование: металлургический завод — механический завод.</w:t>
      </w:r>
    </w:p>
    <w:p w14:paraId="14EE0A83"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Вертикальная интеграция обеспечивает корпоративным структурам, возникающим на ее основе, значительные преимущества: </w:t>
      </w:r>
    </w:p>
    <w:p w14:paraId="681DF188" w14:textId="77777777" w:rsidR="005A60A4" w:rsidRPr="005A60A4" w:rsidRDefault="005A60A4" w:rsidP="005A60A4">
      <w:pPr>
        <w:pStyle w:val="a4"/>
        <w:numPr>
          <w:ilvl w:val="0"/>
          <w:numId w:val="4"/>
        </w:numPr>
        <w:shd w:val="clear" w:color="auto" w:fill="F9F9F7"/>
        <w:tabs>
          <w:tab w:val="left" w:pos="993"/>
        </w:tabs>
        <w:spacing w:after="0" w:line="276" w:lineRule="auto"/>
        <w:ind w:left="709" w:firstLine="0"/>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во-первых, достигается экономический выигрыш при продвижении продукта по сложным производственным циклам; </w:t>
      </w:r>
    </w:p>
    <w:p w14:paraId="10429494" w14:textId="77777777" w:rsidR="005A60A4" w:rsidRPr="005A60A4" w:rsidRDefault="005A60A4" w:rsidP="005A60A4">
      <w:pPr>
        <w:pStyle w:val="a4"/>
        <w:numPr>
          <w:ilvl w:val="0"/>
          <w:numId w:val="4"/>
        </w:numPr>
        <w:shd w:val="clear" w:color="auto" w:fill="F9F9F7"/>
        <w:tabs>
          <w:tab w:val="left" w:pos="993"/>
        </w:tabs>
        <w:spacing w:after="0" w:line="276" w:lineRule="auto"/>
        <w:ind w:left="709" w:firstLine="0"/>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lastRenderedPageBreak/>
        <w:t xml:space="preserve">во-вторых, уменьшается неопределенность в предложении комплектующих, сопряженная с необходимостью получения соответствующей информации на каждом последующем производственном цикле; </w:t>
      </w:r>
    </w:p>
    <w:p w14:paraId="6E19097F" w14:textId="77777777" w:rsidR="005A60A4" w:rsidRPr="005A60A4" w:rsidRDefault="005A60A4" w:rsidP="005A60A4">
      <w:pPr>
        <w:pStyle w:val="a4"/>
        <w:numPr>
          <w:ilvl w:val="0"/>
          <w:numId w:val="4"/>
        </w:numPr>
        <w:shd w:val="clear" w:color="auto" w:fill="F9F9F7"/>
        <w:tabs>
          <w:tab w:val="left" w:pos="993"/>
        </w:tabs>
        <w:spacing w:after="0" w:line="276" w:lineRule="auto"/>
        <w:ind w:left="709" w:firstLine="0"/>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в-третьих, появляется возможность перераспределить риски из одного сектора экономики в другой; </w:t>
      </w:r>
    </w:p>
    <w:p w14:paraId="7A1F9F4C" w14:textId="2A2F27DD" w:rsidR="005A60A4" w:rsidRPr="005A60A4" w:rsidRDefault="005A60A4" w:rsidP="005A60A4">
      <w:pPr>
        <w:pStyle w:val="a4"/>
        <w:numPr>
          <w:ilvl w:val="0"/>
          <w:numId w:val="4"/>
        </w:numPr>
        <w:shd w:val="clear" w:color="auto" w:fill="F9F9F7"/>
        <w:tabs>
          <w:tab w:val="left" w:pos="993"/>
        </w:tabs>
        <w:spacing w:after="0" w:line="276" w:lineRule="auto"/>
        <w:ind w:left="709" w:firstLine="0"/>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в-четвертых, уменьшаются трансакционные издержки; </w:t>
      </w:r>
    </w:p>
    <w:p w14:paraId="594E4A64" w14:textId="77777777" w:rsidR="005A60A4" w:rsidRPr="005A60A4" w:rsidRDefault="005A60A4" w:rsidP="005A60A4">
      <w:pPr>
        <w:pStyle w:val="a4"/>
        <w:numPr>
          <w:ilvl w:val="0"/>
          <w:numId w:val="4"/>
        </w:numPr>
        <w:shd w:val="clear" w:color="auto" w:fill="F9F9F7"/>
        <w:tabs>
          <w:tab w:val="left" w:pos="993"/>
        </w:tabs>
        <w:spacing w:after="0" w:line="276" w:lineRule="auto"/>
        <w:ind w:left="709" w:firstLine="0"/>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в-пятых, возникает множество побочных эффектов (овладение дополнительной информацией, экономия на налогах и т.д.). </w:t>
      </w:r>
    </w:p>
    <w:p w14:paraId="0D0F163F" w14:textId="518E408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Преимущества вертикальной интеграции</w:t>
      </w:r>
      <w:r w:rsidRPr="005A60A4">
        <w:rPr>
          <w:rFonts w:ascii="Times New Roman" w:eastAsia="Times New Roman" w:hAnsi="Times New Roman" w:cs="Times New Roman"/>
          <w:color w:val="000000"/>
          <w:sz w:val="24"/>
          <w:szCs w:val="24"/>
          <w:lang w:eastAsia="ru-RU"/>
        </w:rPr>
        <w:t>, обеспечившие независимость корпораций от поисков стабильного и регулярного снабжения, дают возможность производству успевать за расширением товарных рынков без изменения своих операций, что объясняет ее жизнеспособность.</w:t>
      </w:r>
    </w:p>
    <w:p w14:paraId="16D5383F"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Вертикальная интеграция дает возможность перераспределить риски по всей технологической цепочке.</w:t>
      </w:r>
    </w:p>
    <w:p w14:paraId="05B37FDE"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Достаточно широкое распространение имеют также</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b/>
          <w:bCs/>
          <w:i/>
          <w:iCs/>
          <w:color w:val="000000"/>
          <w:sz w:val="24"/>
          <w:szCs w:val="24"/>
          <w:lang w:eastAsia="ru-RU"/>
        </w:rPr>
        <w:t>конгломератные объединения</w:t>
      </w:r>
      <w:r w:rsidRPr="005A60A4">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color w:val="000000"/>
          <w:sz w:val="24"/>
          <w:szCs w:val="24"/>
          <w:lang w:eastAsia="ru-RU"/>
        </w:rPr>
        <w:t xml:space="preserve">которые представлены структурами по производству и продаже технологически не связанной продукции, то есть речь идет о дополняющей интеграции, или диверсификации производства. Экономический выигрыш диверсифицированной корпоративной структуры (конгломерата) состоит, прежде всего, в разнице времени оборота капиталов различных отраслей. Благодаря этому появляется возможность переориентации средств из производств, переживающих упадок, на производства, находящиеся на подъеме. </w:t>
      </w:r>
    </w:p>
    <w:p w14:paraId="0EA51C86"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Диверсификация</w:t>
      </w:r>
      <w:r w:rsidRPr="005A60A4">
        <w:rPr>
          <w:rFonts w:ascii="Times New Roman" w:eastAsia="Times New Roman" w:hAnsi="Times New Roman" w:cs="Times New Roman"/>
          <w:color w:val="000000"/>
          <w:sz w:val="24"/>
          <w:szCs w:val="24"/>
          <w:lang w:eastAsia="ru-RU"/>
        </w:rPr>
        <w:t xml:space="preserve"> помогает преодолеть сезонные колебания продаж, служит мощным источником экспансии за счет неиспользованных производственных мощностей, позволяет обновлять капитал путем переориентации собственных ресурсов, снижает издержки, связанные с конкурентной борьбой. Осуществляя такую стратегию, компания выпускает новые товары, ориентируется на новые рынки, выходя за рамки своей отрасли и традиционного для нее бизнеса. </w:t>
      </w:r>
    </w:p>
    <w:p w14:paraId="0CDB75B3" w14:textId="523D2444"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 xml:space="preserve">Конгломерат </w:t>
      </w:r>
      <w:r w:rsidRPr="005A60A4">
        <w:rPr>
          <w:rFonts w:ascii="Times New Roman" w:eastAsia="Times New Roman" w:hAnsi="Times New Roman" w:cs="Times New Roman"/>
          <w:color w:val="000000"/>
          <w:sz w:val="24"/>
          <w:szCs w:val="24"/>
          <w:lang w:eastAsia="ru-RU"/>
        </w:rPr>
        <w:t>отражает процесс объединения собственности и капитала; это своего рода замкнутый рынок капиталов, в рамках которого идет концентрация денежных средств от диверсифицированных видов деятельности. Создается единый центр управления диверсифицированными активами и денежными потоками, которые направляются на наиболее эффективные проекты.</w:t>
      </w:r>
    </w:p>
    <w:p w14:paraId="1C4DFBF7"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b/>
          <w:bCs/>
          <w:i/>
          <w:iCs/>
          <w:color w:val="000000"/>
          <w:sz w:val="24"/>
          <w:szCs w:val="24"/>
          <w:lang w:eastAsia="ru-RU"/>
        </w:rPr>
      </w:pPr>
    </w:p>
    <w:p w14:paraId="5A3EF8F7" w14:textId="6F43EFA8"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b/>
          <w:bCs/>
          <w:color w:val="000000"/>
          <w:sz w:val="24"/>
          <w:szCs w:val="24"/>
          <w:lang w:eastAsia="ru-RU"/>
        </w:rPr>
      </w:pPr>
      <w:r w:rsidRPr="005A60A4">
        <w:rPr>
          <w:rFonts w:ascii="Times New Roman" w:eastAsia="Times New Roman" w:hAnsi="Times New Roman" w:cs="Times New Roman"/>
          <w:b/>
          <w:bCs/>
          <w:i/>
          <w:iCs/>
          <w:color w:val="000000"/>
          <w:sz w:val="24"/>
          <w:szCs w:val="24"/>
          <w:lang w:eastAsia="ru-RU"/>
        </w:rPr>
        <w:t>Типы интеграции корпораций</w:t>
      </w:r>
    </w:p>
    <w:p w14:paraId="705B33F4"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Из всего многообразия процессов интеграции можно выделить три типа формирующихся объединений, а именно: </w:t>
      </w:r>
    </w:p>
    <w:p w14:paraId="70690FDE"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1) интеграция на основе имущественных отношений; </w:t>
      </w:r>
    </w:p>
    <w:p w14:paraId="5CDD755B" w14:textId="77777777" w:rsid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 xml:space="preserve">2) интеграция на основе концентрации контроля над ресурсами и услугами; </w:t>
      </w:r>
    </w:p>
    <w:p w14:paraId="3CE20AA0" w14:textId="0992B95A"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color w:val="000000"/>
          <w:sz w:val="24"/>
          <w:szCs w:val="24"/>
          <w:lang w:eastAsia="ru-RU"/>
        </w:rPr>
        <w:t>3) интеграция на основе добровольной централизации участниками структуры некоторых властных полномочий.</w:t>
      </w:r>
    </w:p>
    <w:p w14:paraId="46BE6F5F" w14:textId="77FE5352"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t>В рамках</w:t>
      </w:r>
      <w:r w:rsidRPr="005A60A4">
        <w:rPr>
          <w:rFonts w:ascii="Times New Roman" w:eastAsia="Times New Roman" w:hAnsi="Times New Roman" w:cs="Times New Roman"/>
          <w:b/>
          <w:bCs/>
          <w:color w:val="000000"/>
          <w:sz w:val="24"/>
          <w:szCs w:val="24"/>
          <w:lang w:eastAsia="ru-RU"/>
        </w:rPr>
        <w:t xml:space="preserve"> </w:t>
      </w:r>
      <w:r w:rsidRPr="005A60A4">
        <w:rPr>
          <w:rFonts w:ascii="Times New Roman" w:eastAsia="Times New Roman" w:hAnsi="Times New Roman" w:cs="Times New Roman"/>
          <w:b/>
          <w:bCs/>
          <w:color w:val="000000"/>
          <w:sz w:val="24"/>
          <w:szCs w:val="24"/>
          <w:u w:val="single"/>
          <w:lang w:eastAsia="ru-RU"/>
        </w:rPr>
        <w:t>первого типа</w:t>
      </w:r>
      <w:r>
        <w:rPr>
          <w:rFonts w:ascii="Times New Roman" w:eastAsia="Times New Roman" w:hAnsi="Times New Roman" w:cs="Times New Roman"/>
          <w:color w:val="000000"/>
          <w:sz w:val="24"/>
          <w:szCs w:val="24"/>
          <w:lang w:eastAsia="ru-RU"/>
        </w:rPr>
        <w:t xml:space="preserve"> </w:t>
      </w:r>
      <w:r w:rsidRPr="005A60A4">
        <w:rPr>
          <w:rFonts w:ascii="Times New Roman" w:eastAsia="Times New Roman" w:hAnsi="Times New Roman" w:cs="Times New Roman"/>
          <w:b/>
          <w:bCs/>
          <w:color w:val="000000"/>
          <w:sz w:val="24"/>
          <w:szCs w:val="24"/>
          <w:lang w:eastAsia="ru-RU"/>
        </w:rPr>
        <w:t>объединений</w:t>
      </w:r>
      <w:r w:rsidRPr="005A60A4">
        <w:rPr>
          <w:rFonts w:ascii="Times New Roman" w:eastAsia="Times New Roman" w:hAnsi="Times New Roman" w:cs="Times New Roman"/>
          <w:color w:val="000000"/>
          <w:sz w:val="24"/>
          <w:szCs w:val="24"/>
          <w:lang w:eastAsia="ru-RU"/>
        </w:rPr>
        <w:t xml:space="preserve"> выделяется, прежде всего, классический холдинг, где контрольный пакет формальных прав собствен</w:t>
      </w:r>
      <w:r w:rsidRPr="005A60A4">
        <w:rPr>
          <w:rFonts w:ascii="Times New Roman" w:eastAsia="Times New Roman" w:hAnsi="Times New Roman" w:cs="Times New Roman"/>
          <w:color w:val="000000"/>
          <w:sz w:val="24"/>
          <w:szCs w:val="24"/>
          <w:lang w:eastAsia="ru-RU"/>
        </w:rPr>
        <w:softHyphen/>
        <w:t>ности предприятий сосредоточен в руках мате</w:t>
      </w:r>
      <w:r w:rsidRPr="005A60A4">
        <w:rPr>
          <w:rFonts w:ascii="Times New Roman" w:eastAsia="Times New Roman" w:hAnsi="Times New Roman" w:cs="Times New Roman"/>
          <w:color w:val="000000"/>
          <w:sz w:val="24"/>
          <w:szCs w:val="24"/>
          <w:lang w:eastAsia="ru-RU"/>
        </w:rPr>
        <w:softHyphen/>
        <w:t>ринской компании (речь идет не только о «контрольном пакете акций», ибо в ряде российских холдингов «дочерние» предприятия не являют</w:t>
      </w:r>
      <w:r w:rsidRPr="005A60A4">
        <w:rPr>
          <w:rFonts w:ascii="Times New Roman" w:eastAsia="Times New Roman" w:hAnsi="Times New Roman" w:cs="Times New Roman"/>
          <w:color w:val="000000"/>
          <w:sz w:val="24"/>
          <w:szCs w:val="24"/>
          <w:lang w:eastAsia="ru-RU"/>
        </w:rPr>
        <w:softHyphen/>
        <w:t>ся акционерными обществами, а имеют орга</w:t>
      </w:r>
      <w:r w:rsidRPr="005A60A4">
        <w:rPr>
          <w:rFonts w:ascii="Times New Roman" w:eastAsia="Times New Roman" w:hAnsi="Times New Roman" w:cs="Times New Roman"/>
          <w:color w:val="000000"/>
          <w:sz w:val="24"/>
          <w:szCs w:val="24"/>
          <w:lang w:eastAsia="ru-RU"/>
        </w:rPr>
        <w:softHyphen/>
        <w:t>низационную форму обществ с ограничен</w:t>
      </w:r>
      <w:r w:rsidRPr="005A60A4">
        <w:rPr>
          <w:rFonts w:ascii="Times New Roman" w:eastAsia="Times New Roman" w:hAnsi="Times New Roman" w:cs="Times New Roman"/>
          <w:color w:val="000000"/>
          <w:sz w:val="24"/>
          <w:szCs w:val="24"/>
          <w:lang w:eastAsia="ru-RU"/>
        </w:rPr>
        <w:softHyphen/>
        <w:t>ной ответственностью или государственных унитарных предприятий). Кроме холдинга в данную группу относят: ФПГ, концерн, консорциум, трест.</w:t>
      </w:r>
    </w:p>
    <w:p w14:paraId="12C361C9" w14:textId="72CF628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lang w:eastAsia="ru-RU"/>
        </w:rPr>
        <w:lastRenderedPageBreak/>
        <w:t>Среди </w:t>
      </w:r>
      <w:r w:rsidRPr="005A60A4">
        <w:rPr>
          <w:rFonts w:ascii="Times New Roman" w:eastAsia="Times New Roman" w:hAnsi="Times New Roman" w:cs="Times New Roman"/>
          <w:b/>
          <w:bCs/>
          <w:color w:val="000000"/>
          <w:sz w:val="24"/>
          <w:szCs w:val="24"/>
          <w:u w:val="single"/>
          <w:lang w:eastAsia="ru-RU"/>
        </w:rPr>
        <w:t>второго типа</w:t>
      </w:r>
      <w:r w:rsidRPr="005A60A4">
        <w:rPr>
          <w:rFonts w:ascii="Times New Roman" w:eastAsia="Times New Roman" w:hAnsi="Times New Roman" w:cs="Times New Roman"/>
          <w:b/>
          <w:bCs/>
          <w:color w:val="000000"/>
          <w:sz w:val="24"/>
          <w:szCs w:val="24"/>
          <w:lang w:eastAsia="ru-RU"/>
        </w:rPr>
        <w:t> объединений</w:t>
      </w:r>
      <w:r w:rsidRPr="005A60A4">
        <w:rPr>
          <w:rFonts w:ascii="Times New Roman" w:eastAsia="Times New Roman" w:hAnsi="Times New Roman" w:cs="Times New Roman"/>
          <w:color w:val="000000"/>
          <w:sz w:val="24"/>
          <w:szCs w:val="24"/>
          <w:lang w:eastAsia="ru-RU"/>
        </w:rPr>
        <w:t>, для ко</w:t>
      </w:r>
      <w:r w:rsidRPr="005A60A4">
        <w:rPr>
          <w:rFonts w:ascii="Times New Roman" w:eastAsia="Times New Roman" w:hAnsi="Times New Roman" w:cs="Times New Roman"/>
          <w:color w:val="000000"/>
          <w:sz w:val="24"/>
          <w:szCs w:val="24"/>
          <w:lang w:eastAsia="ru-RU"/>
        </w:rPr>
        <w:softHyphen/>
        <w:t>торых характерна централизация контроля до</w:t>
      </w:r>
      <w:r w:rsidRPr="005A60A4">
        <w:rPr>
          <w:rFonts w:ascii="Times New Roman" w:eastAsia="Times New Roman" w:hAnsi="Times New Roman" w:cs="Times New Roman"/>
          <w:color w:val="000000"/>
          <w:sz w:val="24"/>
          <w:szCs w:val="24"/>
          <w:lang w:eastAsia="ru-RU"/>
        </w:rPr>
        <w:softHyphen/>
        <w:t>ступа к отдельным производственным ресурсам, следует выделить в первую очередь корпорации</w:t>
      </w:r>
      <w:r>
        <w:rPr>
          <w:rFonts w:ascii="Times New Roman" w:eastAsia="Times New Roman" w:hAnsi="Times New Roman" w:cs="Times New Roman"/>
          <w:color w:val="000000"/>
          <w:sz w:val="24"/>
          <w:szCs w:val="24"/>
          <w:lang w:eastAsia="ru-RU"/>
        </w:rPr>
        <w:t>,</w:t>
      </w:r>
      <w:r w:rsidRPr="005A60A4">
        <w:rPr>
          <w:rFonts w:ascii="Times New Roman" w:eastAsia="Times New Roman" w:hAnsi="Times New Roman" w:cs="Times New Roman"/>
          <w:color w:val="000000"/>
          <w:sz w:val="24"/>
          <w:szCs w:val="24"/>
          <w:lang w:eastAsia="ru-RU"/>
        </w:rPr>
        <w:t xml:space="preserve"> формирующиеся вокруг компаний, обеспе</w:t>
      </w:r>
      <w:r w:rsidRPr="005A60A4">
        <w:rPr>
          <w:rFonts w:ascii="Times New Roman" w:eastAsia="Times New Roman" w:hAnsi="Times New Roman" w:cs="Times New Roman"/>
          <w:color w:val="000000"/>
          <w:sz w:val="24"/>
          <w:szCs w:val="24"/>
          <w:lang w:eastAsia="ru-RU"/>
        </w:rPr>
        <w:softHyphen/>
        <w:t>чивающих сбыт продукции и (или) снабжение дефицитными ресурсами: синдикат, картель.</w:t>
      </w:r>
    </w:p>
    <w:p w14:paraId="6C8B206D" w14:textId="77777777" w:rsidR="005A60A4" w:rsidRPr="005A60A4" w:rsidRDefault="005A60A4" w:rsidP="005A60A4">
      <w:pPr>
        <w:shd w:val="clear" w:color="auto" w:fill="F9F9F7"/>
        <w:tabs>
          <w:tab w:val="left" w:pos="1134"/>
        </w:tabs>
        <w:spacing w:after="0" w:line="276" w:lineRule="auto"/>
        <w:ind w:firstLine="709"/>
        <w:jc w:val="both"/>
        <w:rPr>
          <w:rFonts w:ascii="Times New Roman" w:eastAsia="Times New Roman" w:hAnsi="Times New Roman" w:cs="Times New Roman"/>
          <w:color w:val="000000"/>
          <w:sz w:val="24"/>
          <w:szCs w:val="24"/>
          <w:lang w:eastAsia="ru-RU"/>
        </w:rPr>
      </w:pPr>
      <w:r w:rsidRPr="005A60A4">
        <w:rPr>
          <w:rFonts w:ascii="Times New Roman" w:eastAsia="Times New Roman" w:hAnsi="Times New Roman" w:cs="Times New Roman"/>
          <w:b/>
          <w:bCs/>
          <w:color w:val="000000"/>
          <w:sz w:val="24"/>
          <w:szCs w:val="24"/>
          <w:u w:val="single"/>
          <w:lang w:eastAsia="ru-RU"/>
        </w:rPr>
        <w:t>Третий тип</w:t>
      </w:r>
      <w:r w:rsidRPr="005A60A4">
        <w:rPr>
          <w:rFonts w:ascii="Times New Roman" w:eastAsia="Times New Roman" w:hAnsi="Times New Roman" w:cs="Times New Roman"/>
          <w:b/>
          <w:bCs/>
          <w:color w:val="000000"/>
          <w:sz w:val="24"/>
          <w:szCs w:val="24"/>
          <w:lang w:eastAsia="ru-RU"/>
        </w:rPr>
        <w:t> объединений</w:t>
      </w:r>
      <w:r w:rsidRPr="005A60A4">
        <w:rPr>
          <w:rFonts w:ascii="Times New Roman" w:eastAsia="Times New Roman" w:hAnsi="Times New Roman" w:cs="Times New Roman"/>
          <w:color w:val="000000"/>
          <w:sz w:val="24"/>
          <w:szCs w:val="24"/>
          <w:lang w:eastAsia="ru-RU"/>
        </w:rPr>
        <w:t>, связанный с доб</w:t>
      </w:r>
      <w:r w:rsidRPr="005A60A4">
        <w:rPr>
          <w:rFonts w:ascii="Times New Roman" w:eastAsia="Times New Roman" w:hAnsi="Times New Roman" w:cs="Times New Roman"/>
          <w:color w:val="000000"/>
          <w:sz w:val="24"/>
          <w:szCs w:val="24"/>
          <w:lang w:eastAsia="ru-RU"/>
        </w:rPr>
        <w:softHyphen/>
        <w:t>ровольной централизацией некоторых властных полномочий, в определенной мере характери</w:t>
      </w:r>
      <w:r w:rsidRPr="005A60A4">
        <w:rPr>
          <w:rFonts w:ascii="Times New Roman" w:eastAsia="Times New Roman" w:hAnsi="Times New Roman" w:cs="Times New Roman"/>
          <w:color w:val="000000"/>
          <w:sz w:val="24"/>
          <w:szCs w:val="24"/>
          <w:lang w:eastAsia="ru-RU"/>
        </w:rPr>
        <w:softHyphen/>
        <w:t>зуется использованием инструментов, свой</w:t>
      </w:r>
      <w:r w:rsidRPr="005A60A4">
        <w:rPr>
          <w:rFonts w:ascii="Times New Roman" w:eastAsia="Times New Roman" w:hAnsi="Times New Roman" w:cs="Times New Roman"/>
          <w:color w:val="000000"/>
          <w:sz w:val="24"/>
          <w:szCs w:val="24"/>
          <w:lang w:eastAsia="ru-RU"/>
        </w:rPr>
        <w:softHyphen/>
        <w:t>ственных первым двум типам интегрированных корпоративных структур. Сюда входят: концерн, ФПГ, консорциум, синдикат, трест.</w:t>
      </w:r>
    </w:p>
    <w:p w14:paraId="7E89EA7F" w14:textId="77777777" w:rsidR="005A60A4" w:rsidRPr="005A60A4" w:rsidRDefault="005A60A4" w:rsidP="005A60A4">
      <w:pPr>
        <w:tabs>
          <w:tab w:val="left" w:pos="1134"/>
        </w:tabs>
        <w:spacing w:after="0" w:line="276" w:lineRule="auto"/>
        <w:ind w:firstLine="709"/>
        <w:jc w:val="both"/>
        <w:rPr>
          <w:rFonts w:ascii="Times New Roman" w:hAnsi="Times New Roman" w:cs="Times New Roman"/>
          <w:sz w:val="24"/>
          <w:szCs w:val="24"/>
        </w:rPr>
      </w:pPr>
    </w:p>
    <w:sectPr w:rsidR="005A60A4" w:rsidRPr="005A60A4" w:rsidSect="005A60A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FFF"/>
    <w:multiLevelType w:val="hybridMultilevel"/>
    <w:tmpl w:val="CFF2E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917224"/>
    <w:multiLevelType w:val="hybridMultilevel"/>
    <w:tmpl w:val="54BC286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B88391B"/>
    <w:multiLevelType w:val="hybridMultilevel"/>
    <w:tmpl w:val="0F1E5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1939DC"/>
    <w:multiLevelType w:val="multilevel"/>
    <w:tmpl w:val="F684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CF"/>
    <w:rsid w:val="00226B72"/>
    <w:rsid w:val="004705CF"/>
    <w:rsid w:val="005A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94C6"/>
  <w15:chartTrackingRefBased/>
  <w15:docId w15:val="{2A513339-E36E-45E4-88ED-2A723486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A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2</cp:revision>
  <dcterms:created xsi:type="dcterms:W3CDTF">2025-02-17T11:14:00Z</dcterms:created>
  <dcterms:modified xsi:type="dcterms:W3CDTF">2025-02-17T11:22:00Z</dcterms:modified>
</cp:coreProperties>
</file>