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D6F8" w14:textId="7075A7FB" w:rsidR="008A3EA0" w:rsidRDefault="008A3EA0" w:rsidP="008A3EA0">
      <w:pPr>
        <w:pStyle w:val="a3"/>
        <w:tabs>
          <w:tab w:val="left" w:pos="993"/>
        </w:tabs>
        <w:ind w:left="360" w:firstLine="0"/>
        <w:jc w:val="center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ОБОРОТНЫЕ СРЕДСТВА</w:t>
      </w:r>
    </w:p>
    <w:p w14:paraId="6D3E8BFC" w14:textId="77777777" w:rsidR="008A3EA0" w:rsidRDefault="008A3EA0" w:rsidP="008A3EA0">
      <w:pPr>
        <w:ind w:firstLine="700"/>
        <w:rPr>
          <w:rFonts w:eastAsia="TimesNewRoman"/>
          <w:szCs w:val="28"/>
        </w:rPr>
      </w:pPr>
    </w:p>
    <w:p w14:paraId="138D339B" w14:textId="77777777" w:rsidR="008A3EA0" w:rsidRPr="00B1320B" w:rsidRDefault="008A3EA0" w:rsidP="008A3EA0">
      <w:pPr>
        <w:spacing w:line="240" w:lineRule="auto"/>
        <w:ind w:firstLine="697"/>
        <w:rPr>
          <w:rFonts w:eastAsia="TimesNewRoman"/>
          <w:szCs w:val="28"/>
        </w:rPr>
      </w:pPr>
      <w:r w:rsidRPr="00B1320B">
        <w:rPr>
          <w:rFonts w:eastAsia="TimesNewRoman"/>
          <w:b/>
          <w:szCs w:val="28"/>
        </w:rPr>
        <w:t>Оборотные средства</w:t>
      </w:r>
      <w:r w:rsidRPr="00B1320B">
        <w:rPr>
          <w:rFonts w:eastAsia="TimesNewRoman"/>
          <w:szCs w:val="28"/>
        </w:rPr>
        <w:t xml:space="preserve"> – это имущество предприятия, которое используются в обороте предприятия в течение 12 месяцев или в течение одного производственного цикла. Они включают в себя: запасы, НДС, дебиторская задолженность, краткосрочные финансовые вложения, денежные средства, прочие оборотные активы.</w:t>
      </w:r>
    </w:p>
    <w:p w14:paraId="2B018F9C" w14:textId="77777777" w:rsidR="008A3EA0" w:rsidRPr="00B1320B" w:rsidRDefault="008A3EA0" w:rsidP="008A3EA0">
      <w:pPr>
        <w:pStyle w:val="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>Функциональная роль оборотных средств в процессе производства в корне отличается от роли основных средств: оборотные средства, обеспечивая непрерывность процесса производства, потребляются в каждом производственном цикле. Они полностью утрачивают свою натуральную форму и целиком включаются в стоимость изготовленной продукции.</w:t>
      </w:r>
    </w:p>
    <w:p w14:paraId="75EF2664" w14:textId="77777777" w:rsidR="008A3EA0" w:rsidRPr="00B1320B" w:rsidRDefault="008A3EA0" w:rsidP="008A3EA0">
      <w:pPr>
        <w:pStyle w:val="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>Оборотные средства классифицируют по ряду признаков:</w:t>
      </w:r>
    </w:p>
    <w:p w14:paraId="72A0B88B" w14:textId="77777777" w:rsidR="008A3EA0" w:rsidRPr="00B1320B" w:rsidRDefault="008A3EA0" w:rsidP="008A3EA0">
      <w:pPr>
        <w:pStyle w:val="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>по материально-вещественному признаку они делятся на предметы труда, готовую продукцию, товары для перепродажи, средства в расчетах и денежные средства;</w:t>
      </w:r>
    </w:p>
    <w:p w14:paraId="1AD4B432" w14:textId="77777777" w:rsidR="008A3EA0" w:rsidRPr="00B1320B" w:rsidRDefault="008A3EA0" w:rsidP="008A3EA0">
      <w:pPr>
        <w:pStyle w:val="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>по функциональной роли в процессе производства: оборотные производственные фонды и фонды обращения;</w:t>
      </w:r>
    </w:p>
    <w:p w14:paraId="6D1193D7" w14:textId="77777777" w:rsidR="008A3EA0" w:rsidRPr="00B1320B" w:rsidRDefault="008A3EA0" w:rsidP="008A3EA0">
      <w:pPr>
        <w:pStyle w:val="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>по  степени управляемости: нормируемые и ненормируемые;</w:t>
      </w:r>
    </w:p>
    <w:p w14:paraId="5661895A" w14:textId="77777777" w:rsidR="008A3EA0" w:rsidRPr="00B1320B" w:rsidRDefault="008A3EA0" w:rsidP="008A3EA0">
      <w:pPr>
        <w:pStyle w:val="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 xml:space="preserve">по степени ликвидности: наиболее ликвидные, быстрореализуемые, </w:t>
      </w:r>
      <w:proofErr w:type="spellStart"/>
      <w:r w:rsidRPr="00B1320B">
        <w:rPr>
          <w:rFonts w:ascii="Times New Roman" w:hAnsi="Times New Roman" w:cs="Times New Roman"/>
          <w:sz w:val="28"/>
          <w:szCs w:val="28"/>
        </w:rPr>
        <w:t>медленнореализуемые</w:t>
      </w:r>
      <w:proofErr w:type="spellEnd"/>
      <w:r w:rsidRPr="00B1320B">
        <w:rPr>
          <w:rFonts w:ascii="Times New Roman" w:hAnsi="Times New Roman" w:cs="Times New Roman"/>
          <w:sz w:val="28"/>
          <w:szCs w:val="28"/>
        </w:rPr>
        <w:t>, труднореализуемые.</w:t>
      </w:r>
    </w:p>
    <w:p w14:paraId="76DF3169" w14:textId="3425E6C9" w:rsidR="008A3EA0" w:rsidRPr="00B1320B" w:rsidRDefault="008A3EA0" w:rsidP="008A3EA0">
      <w:pPr>
        <w:pStyle w:val="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оценка </w:t>
      </w:r>
      <w:r w:rsidRPr="00B1320B">
        <w:rPr>
          <w:rFonts w:ascii="Times New Roman" w:hAnsi="Times New Roman" w:cs="Times New Roman"/>
          <w:i/>
          <w:sz w:val="28"/>
          <w:szCs w:val="28"/>
        </w:rPr>
        <w:t>структуры оборотных активов</w:t>
      </w:r>
      <w:r w:rsidRPr="00B1320B">
        <w:rPr>
          <w:rFonts w:ascii="Times New Roman" w:hAnsi="Times New Roman" w:cs="Times New Roman"/>
          <w:sz w:val="28"/>
          <w:szCs w:val="28"/>
        </w:rPr>
        <w:t xml:space="preserve"> осуществляется по видам с использованием приема сравнения и относительных величин динамики и структуры в таб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32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2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EABCF8" w14:textId="77777777" w:rsidR="008A3EA0" w:rsidRDefault="008A3EA0" w:rsidP="008A3EA0">
      <w:pPr>
        <w:widowControl w:val="0"/>
        <w:rPr>
          <w:spacing w:val="20"/>
          <w:szCs w:val="28"/>
        </w:rPr>
      </w:pPr>
    </w:p>
    <w:p w14:paraId="6B7782AD" w14:textId="3718334C" w:rsidR="008A3EA0" w:rsidRPr="00B1320B" w:rsidRDefault="008A3EA0" w:rsidP="008A3EA0">
      <w:pPr>
        <w:widowControl w:val="0"/>
        <w:rPr>
          <w:vertAlign w:val="superscript"/>
        </w:rPr>
      </w:pPr>
      <w:r w:rsidRPr="00B1320B">
        <w:rPr>
          <w:spacing w:val="20"/>
          <w:szCs w:val="28"/>
        </w:rPr>
        <w:t xml:space="preserve">Таблица </w:t>
      </w:r>
      <w:r>
        <w:rPr>
          <w:spacing w:val="20"/>
          <w:szCs w:val="28"/>
        </w:rPr>
        <w:t>1</w:t>
      </w:r>
      <w:r w:rsidRPr="00B1320B">
        <w:rPr>
          <w:spacing w:val="20"/>
          <w:szCs w:val="28"/>
        </w:rPr>
        <w:t xml:space="preserve"> </w:t>
      </w:r>
      <w:r w:rsidRPr="00B1320B">
        <w:rPr>
          <w:rFonts w:eastAsia="TimesNewRoman"/>
          <w:szCs w:val="28"/>
        </w:rPr>
        <w:t>–</w:t>
      </w:r>
      <w:r w:rsidRPr="00B1320B">
        <w:rPr>
          <w:spacing w:val="20"/>
          <w:szCs w:val="28"/>
        </w:rPr>
        <w:t xml:space="preserve"> </w:t>
      </w:r>
      <w:r w:rsidRPr="00B1320B">
        <w:t>Анализ состава и структуры оборотных средств</w:t>
      </w:r>
    </w:p>
    <w:tbl>
      <w:tblPr>
        <w:tblW w:w="94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851"/>
        <w:gridCol w:w="709"/>
        <w:gridCol w:w="708"/>
        <w:gridCol w:w="851"/>
        <w:gridCol w:w="1043"/>
        <w:gridCol w:w="941"/>
        <w:gridCol w:w="1241"/>
      </w:tblGrid>
      <w:tr w:rsidR="008A3EA0" w:rsidRPr="00B1320B" w14:paraId="4E42093B" w14:textId="77777777" w:rsidTr="008C2D00">
        <w:trPr>
          <w:cantSplit/>
          <w:trHeight w:val="355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8A9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2"/>
              </w:rPr>
            </w:pPr>
          </w:p>
          <w:p w14:paraId="5708084D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  <w:szCs w:val="22"/>
              </w:rPr>
              <w:t>Виды оборотных активов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3343F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На начало</w:t>
            </w:r>
          </w:p>
          <w:p w14:paraId="4BC269D0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 xml:space="preserve"> периода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34AA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На конец</w:t>
            </w:r>
          </w:p>
          <w:p w14:paraId="5E8B515F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 xml:space="preserve"> периода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8DD8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Абсолютное отклонение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75342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Темп роста, %</w:t>
            </w:r>
          </w:p>
        </w:tc>
      </w:tr>
      <w:tr w:rsidR="008A3EA0" w:rsidRPr="00B1320B" w14:paraId="37C6EA50" w14:textId="77777777" w:rsidTr="008C2D00">
        <w:trPr>
          <w:cantSplit/>
          <w:trHeight w:val="350"/>
        </w:trPr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F8D2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E68B5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Сумма,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A81D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B1320B">
              <w:rPr>
                <w:color w:val="000000"/>
                <w:sz w:val="22"/>
                <w:szCs w:val="22"/>
              </w:rPr>
              <w:t>Удель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1320B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B1320B">
              <w:rPr>
                <w:color w:val="000000"/>
                <w:sz w:val="22"/>
                <w:szCs w:val="22"/>
              </w:rPr>
              <w:t xml:space="preserve"> вес,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61DD" w14:textId="77777777" w:rsidR="008A3EA0" w:rsidRPr="00B1320B" w:rsidRDefault="008A3EA0" w:rsidP="001D7EE5">
            <w:pPr>
              <w:spacing w:line="240" w:lineRule="auto"/>
              <w:ind w:left="-30" w:right="-30"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Сумма,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228B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proofErr w:type="spellStart"/>
            <w:proofErr w:type="gramStart"/>
            <w:r w:rsidRPr="00B1320B">
              <w:rPr>
                <w:color w:val="000000"/>
                <w:sz w:val="22"/>
                <w:szCs w:val="22"/>
              </w:rPr>
              <w:t>Удель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1320B">
              <w:rPr>
                <w:color w:val="000000"/>
                <w:sz w:val="22"/>
                <w:szCs w:val="22"/>
              </w:rPr>
              <w:t>ный</w:t>
            </w:r>
            <w:proofErr w:type="spellEnd"/>
            <w:proofErr w:type="gramEnd"/>
            <w:r w:rsidRPr="00B1320B">
              <w:rPr>
                <w:color w:val="000000"/>
                <w:sz w:val="22"/>
                <w:szCs w:val="22"/>
              </w:rPr>
              <w:t xml:space="preserve"> вес, %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FE5F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по сумме, тыс. руб.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4E1D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B1320B">
              <w:rPr>
                <w:color w:val="000000"/>
                <w:sz w:val="22"/>
                <w:szCs w:val="22"/>
              </w:rPr>
              <w:t>удель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B1320B">
              <w:rPr>
                <w:color w:val="000000"/>
                <w:sz w:val="22"/>
                <w:szCs w:val="22"/>
              </w:rPr>
              <w:t>ному</w:t>
            </w:r>
            <w:proofErr w:type="gramEnd"/>
            <w:r w:rsidRPr="00B1320B">
              <w:rPr>
                <w:color w:val="000000"/>
                <w:sz w:val="22"/>
                <w:szCs w:val="22"/>
              </w:rPr>
              <w:t xml:space="preserve"> весу, %</w:t>
            </w:r>
          </w:p>
        </w:tc>
        <w:tc>
          <w:tcPr>
            <w:tcW w:w="12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92F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8A3EA0" w:rsidRPr="00B1320B" w14:paraId="4269D9E4" w14:textId="77777777" w:rsidTr="008C2D00"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7D2D5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  <w:szCs w:val="22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01210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E41A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8FB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2F66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3B7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5 [3-1]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28AE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6 [4-2]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71C1" w14:textId="77777777" w:rsidR="008A3EA0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7</w:t>
            </w:r>
          </w:p>
          <w:p w14:paraId="01C6CB17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[3/1]∙100</w:t>
            </w:r>
          </w:p>
        </w:tc>
      </w:tr>
      <w:tr w:rsidR="008A3EA0" w:rsidRPr="00B1320B" w14:paraId="6433CAF8" w14:textId="77777777" w:rsidTr="008C2D00"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8E3EF" w14:textId="10A7CD7A" w:rsidR="008A3EA0" w:rsidRPr="00B1320B" w:rsidRDefault="008A3EA0" w:rsidP="008C2D00">
            <w:pPr>
              <w:tabs>
                <w:tab w:val="left" w:pos="421"/>
              </w:tabs>
              <w:spacing w:line="240" w:lineRule="auto"/>
              <w:ind w:firstLine="0"/>
              <w:jc w:val="left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  <w:szCs w:val="22"/>
              </w:rPr>
              <w:t>Оборотные активы всего</w:t>
            </w:r>
            <w:r w:rsidR="008C2D00" w:rsidRPr="00B1320B">
              <w:rPr>
                <w:snapToGrid w:val="0"/>
                <w:color w:val="000000"/>
                <w:sz w:val="22"/>
                <w:szCs w:val="22"/>
              </w:rPr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2C14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D69B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BBE4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13E3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 w:rsidRPr="00B1320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C130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FA20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4D22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8A3EA0" w:rsidRPr="00B1320B" w14:paraId="5A6D0733" w14:textId="77777777" w:rsidTr="008C2D00">
        <w:trPr>
          <w:trHeight w:val="567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8015" w14:textId="7765CC2D" w:rsidR="008A3EA0" w:rsidRPr="00B1320B" w:rsidRDefault="008C2D00" w:rsidP="001D7EE5">
            <w:pPr>
              <w:tabs>
                <w:tab w:val="num" w:pos="0"/>
                <w:tab w:val="left" w:pos="421"/>
              </w:tabs>
              <w:spacing w:line="240" w:lineRule="auto"/>
              <w:ind w:left="142" w:firstLine="0"/>
              <w:jc w:val="lef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r w:rsidR="008A3EA0" w:rsidRPr="00B1320B">
              <w:rPr>
                <w:snapToGrid w:val="0"/>
                <w:color w:val="000000"/>
                <w:sz w:val="22"/>
                <w:szCs w:val="22"/>
              </w:rPr>
              <w:t xml:space="preserve"> том числе:</w:t>
            </w:r>
          </w:p>
          <w:p w14:paraId="0B84865D" w14:textId="77777777" w:rsidR="008A3EA0" w:rsidRPr="00B1320B" w:rsidRDefault="008A3EA0" w:rsidP="008A3EA0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421"/>
              </w:tabs>
              <w:spacing w:line="240" w:lineRule="auto"/>
              <w:ind w:left="142" w:firstLine="0"/>
              <w:jc w:val="left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  <w:szCs w:val="22"/>
              </w:rPr>
              <w:t xml:space="preserve">Запасы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645D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4809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4BAC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ED7D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8C6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596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A68C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8A3EA0" w:rsidRPr="00B1320B" w14:paraId="75663F62" w14:textId="77777777" w:rsidTr="008C2D00"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0E2A" w14:textId="77777777" w:rsidR="008A3EA0" w:rsidRPr="00B1320B" w:rsidRDefault="008A3EA0" w:rsidP="008A3EA0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421"/>
              </w:tabs>
              <w:spacing w:line="240" w:lineRule="auto"/>
              <w:ind w:left="142" w:firstLine="0"/>
              <w:jc w:val="left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  <w:szCs w:val="22"/>
              </w:rPr>
              <w:t>НДС по приобретенным ценностям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248B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C6AF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E76A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E0D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30A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5C76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EEF0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8A3EA0" w:rsidRPr="00B1320B" w14:paraId="4E4972C1" w14:textId="77777777" w:rsidTr="008C2D00"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7667" w14:textId="77777777" w:rsidR="008A3EA0" w:rsidRPr="00B1320B" w:rsidRDefault="008A3EA0" w:rsidP="008A3EA0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421"/>
              </w:tabs>
              <w:spacing w:line="240" w:lineRule="auto"/>
              <w:ind w:left="142" w:firstLine="0"/>
              <w:jc w:val="left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  <w:szCs w:val="22"/>
              </w:rPr>
              <w:t>Дебиторская задолженность, платежи по которой ожидаются в течение 12 месяцев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4B86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2222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2CA6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9BEB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86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1B31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0B5B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8A3EA0" w:rsidRPr="00B1320B" w14:paraId="324C5531" w14:textId="77777777" w:rsidTr="008C2D00"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4800" w14:textId="77777777" w:rsidR="008A3EA0" w:rsidRPr="00B1320B" w:rsidRDefault="008A3EA0" w:rsidP="008A3EA0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421"/>
              </w:tabs>
              <w:spacing w:line="240" w:lineRule="auto"/>
              <w:ind w:left="142" w:firstLine="0"/>
              <w:jc w:val="left"/>
              <w:rPr>
                <w:snapToGrid w:val="0"/>
                <w:color w:val="000000"/>
                <w:sz w:val="22"/>
              </w:rPr>
            </w:pPr>
            <w:r w:rsidRPr="00B1320B">
              <w:rPr>
                <w:snapToGrid w:val="0"/>
                <w:color w:val="000000"/>
                <w:sz w:val="22"/>
              </w:rPr>
              <w:t>Наиболее ликвидные активы (денежные средства и краткосрочные финансовые вложения)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2BCC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1E6F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C66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F81C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291A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CFF9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2AF2" w14:textId="77777777" w:rsidR="008A3EA0" w:rsidRPr="00B1320B" w:rsidRDefault="008A3EA0" w:rsidP="001D7EE5">
            <w:pPr>
              <w:spacing w:line="240" w:lineRule="auto"/>
              <w:ind w:firstLine="0"/>
              <w:jc w:val="center"/>
              <w:rPr>
                <w:color w:val="000000"/>
                <w:sz w:val="22"/>
              </w:rPr>
            </w:pPr>
          </w:p>
        </w:tc>
      </w:tr>
    </w:tbl>
    <w:p w14:paraId="356CFE86" w14:textId="77777777" w:rsidR="008A3EA0" w:rsidRDefault="008A3EA0" w:rsidP="008A3EA0">
      <w:pPr>
        <w:pStyle w:val="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</w:p>
    <w:p w14:paraId="316D21FA" w14:textId="2CA93FAC" w:rsidR="008A3EA0" w:rsidRPr="00B1320B" w:rsidRDefault="008A3EA0" w:rsidP="008A3EA0">
      <w:pPr>
        <w:pStyle w:val="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оборотных активов (соотношение материально-производственных запасов, дебиторской задолженности и наиболее ликвидных активов), главным образом, определяется отраслевой спецификой деятельности организации. Так, </w:t>
      </w:r>
      <w:r>
        <w:rPr>
          <w:rFonts w:ascii="Times New Roman" w:hAnsi="Times New Roman" w:cs="Times New Roman"/>
          <w:sz w:val="28"/>
          <w:szCs w:val="28"/>
        </w:rPr>
        <w:t>на предприятиях железнодорожного транспорта преобладают запасы (в</w:t>
      </w:r>
      <w:r w:rsidRPr="00B1320B">
        <w:rPr>
          <w:rFonts w:ascii="Times New Roman" w:hAnsi="Times New Roman" w:cs="Times New Roman"/>
          <w:sz w:val="28"/>
          <w:szCs w:val="28"/>
        </w:rPr>
        <w:t xml:space="preserve"> розничной торговле </w:t>
      </w:r>
      <w:r>
        <w:rPr>
          <w:rFonts w:ascii="Times New Roman" w:hAnsi="Times New Roman" w:cs="Times New Roman"/>
          <w:sz w:val="28"/>
          <w:szCs w:val="28"/>
        </w:rPr>
        <w:t>тоже</w:t>
      </w:r>
      <w:r w:rsidRPr="00B1320B">
        <w:rPr>
          <w:rFonts w:ascii="Times New Roman" w:hAnsi="Times New Roman" w:cs="Times New Roman"/>
          <w:sz w:val="28"/>
          <w:szCs w:val="28"/>
        </w:rPr>
        <w:t xml:space="preserve"> запасы; в оптовой торговле и промышленных организациях, где осуществляется отгрузка товаров (продукции) на условиях отсрочки платежа, значительная доля будет приходиться как на запасы, так и на дебиторскую задолженность. Однако если на дебиторскую задолженность приходится преобладающая доля, структуру оборотных активов следует оценить неудовлетворительно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2BD33F6" w14:textId="77777777" w:rsidR="008A3EA0" w:rsidRPr="00B1320B" w:rsidRDefault="008A3EA0" w:rsidP="008A3EA0">
      <w:pPr>
        <w:widowControl w:val="0"/>
        <w:spacing w:line="240" w:lineRule="auto"/>
        <w:ind w:firstLine="697"/>
        <w:rPr>
          <w:szCs w:val="28"/>
        </w:rPr>
      </w:pPr>
      <w:r w:rsidRPr="00B1320B">
        <w:rPr>
          <w:szCs w:val="28"/>
        </w:rPr>
        <w:t>При оценке динамики оборотных активов позитивно оцениваются следующие тенденции:</w:t>
      </w:r>
    </w:p>
    <w:p w14:paraId="6F7F2A6C" w14:textId="77777777" w:rsidR="008A3EA0" w:rsidRPr="00B1320B" w:rsidRDefault="008A3EA0" w:rsidP="008A3EA0">
      <w:pPr>
        <w:widowControl w:val="0"/>
        <w:numPr>
          <w:ilvl w:val="0"/>
          <w:numId w:val="1"/>
        </w:numPr>
        <w:spacing w:line="240" w:lineRule="auto"/>
        <w:ind w:left="0" w:firstLine="697"/>
        <w:rPr>
          <w:szCs w:val="28"/>
        </w:rPr>
      </w:pPr>
      <w:r w:rsidRPr="00B1320B">
        <w:rPr>
          <w:szCs w:val="28"/>
        </w:rPr>
        <w:t>рост запасов, если он обусловлен увеличением объемов деятельности. При этом темп роста выручки от продаж (объемов производства) должен превышать темпы роста запасов;</w:t>
      </w:r>
    </w:p>
    <w:p w14:paraId="7C8B6B10" w14:textId="77777777" w:rsidR="008A3EA0" w:rsidRPr="00B1320B" w:rsidRDefault="008A3EA0" w:rsidP="008A3EA0">
      <w:pPr>
        <w:widowControl w:val="0"/>
        <w:numPr>
          <w:ilvl w:val="0"/>
          <w:numId w:val="1"/>
        </w:numPr>
        <w:spacing w:line="240" w:lineRule="auto"/>
        <w:ind w:left="0" w:firstLine="697"/>
        <w:rPr>
          <w:szCs w:val="28"/>
        </w:rPr>
      </w:pPr>
      <w:r w:rsidRPr="00B1320B">
        <w:rPr>
          <w:szCs w:val="28"/>
        </w:rPr>
        <w:t>рост денежных средств и краткосрочных финансовых вложений в пределах 10-20 % от величины краткосрочных обязательств (в соответствии с оптимальным значением коэффициента абсолютной ликвидности);</w:t>
      </w:r>
    </w:p>
    <w:p w14:paraId="0B975281" w14:textId="77777777" w:rsidR="008A3EA0" w:rsidRPr="00B1320B" w:rsidRDefault="008A3EA0" w:rsidP="008A3EA0">
      <w:pPr>
        <w:widowControl w:val="0"/>
        <w:numPr>
          <w:ilvl w:val="0"/>
          <w:numId w:val="1"/>
        </w:numPr>
        <w:spacing w:line="240" w:lineRule="auto"/>
        <w:ind w:left="0" w:firstLine="697"/>
        <w:rPr>
          <w:szCs w:val="28"/>
        </w:rPr>
      </w:pPr>
      <w:r w:rsidRPr="00B1320B">
        <w:rPr>
          <w:szCs w:val="28"/>
        </w:rPr>
        <w:t>снижение величины и удельного веса краткосрочной дебиторской задолженности, ликвидация (отсутствие) просроченной задолженности.</w:t>
      </w:r>
    </w:p>
    <w:p w14:paraId="4744E4EC" w14:textId="77777777" w:rsidR="008A3EA0" w:rsidRPr="00B1320B" w:rsidRDefault="008A3EA0" w:rsidP="008A3EA0">
      <w:pPr>
        <w:pStyle w:val="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1320B">
        <w:rPr>
          <w:rFonts w:ascii="Times New Roman" w:hAnsi="Times New Roman" w:cs="Times New Roman"/>
          <w:sz w:val="28"/>
          <w:szCs w:val="28"/>
        </w:rPr>
        <w:t>С целью определения «качества» оборотных активов на основе данных текущего учета выявляют залежалые запасы и просроченную дебиторскую задолженность.</w:t>
      </w:r>
    </w:p>
    <w:p w14:paraId="390F0535" w14:textId="398FD6B7" w:rsidR="008A3EA0" w:rsidRPr="00716892" w:rsidRDefault="008A3EA0" w:rsidP="008A3EA0">
      <w:pPr>
        <w:widowControl w:val="0"/>
        <w:suppressAutoHyphens/>
        <w:spacing w:line="240" w:lineRule="auto"/>
        <w:ind w:firstLine="697"/>
        <w:rPr>
          <w:szCs w:val="28"/>
        </w:rPr>
      </w:pPr>
      <w:r w:rsidRPr="00B1320B">
        <w:rPr>
          <w:i/>
          <w:szCs w:val="28"/>
        </w:rPr>
        <w:t>Показатели эффективности использования</w:t>
      </w:r>
      <w:r w:rsidRPr="00716892">
        <w:rPr>
          <w:szCs w:val="28"/>
        </w:rPr>
        <w:t xml:space="preserve"> оборотных средств отражены в табл.</w:t>
      </w:r>
      <w:r>
        <w:rPr>
          <w:szCs w:val="28"/>
        </w:rPr>
        <w:t>2</w:t>
      </w:r>
    </w:p>
    <w:p w14:paraId="3A0BF8B5" w14:textId="77777777" w:rsidR="008A3EA0" w:rsidRDefault="008A3EA0" w:rsidP="008A3EA0">
      <w:pPr>
        <w:spacing w:line="240" w:lineRule="auto"/>
        <w:ind w:firstLine="697"/>
        <w:rPr>
          <w:szCs w:val="28"/>
        </w:rPr>
      </w:pPr>
    </w:p>
    <w:p w14:paraId="10478312" w14:textId="46B8C936" w:rsidR="008A3EA0" w:rsidRPr="008213E4" w:rsidRDefault="008A3EA0" w:rsidP="008A3EA0">
      <w:pPr>
        <w:spacing w:line="240" w:lineRule="auto"/>
        <w:ind w:firstLine="697"/>
        <w:rPr>
          <w:szCs w:val="28"/>
        </w:rPr>
      </w:pPr>
      <w:r w:rsidRPr="008213E4">
        <w:rPr>
          <w:szCs w:val="28"/>
        </w:rPr>
        <w:t xml:space="preserve">Таблица </w:t>
      </w:r>
      <w:r>
        <w:rPr>
          <w:szCs w:val="28"/>
        </w:rPr>
        <w:t>2</w:t>
      </w:r>
      <w:r w:rsidRPr="008213E4">
        <w:rPr>
          <w:szCs w:val="28"/>
        </w:rPr>
        <w:t xml:space="preserve"> </w:t>
      </w:r>
      <w:r w:rsidRPr="00B1320B">
        <w:rPr>
          <w:rFonts w:eastAsia="TimesNewRoman"/>
          <w:szCs w:val="28"/>
        </w:rPr>
        <w:t>–</w:t>
      </w:r>
      <w:r w:rsidRPr="008213E4">
        <w:rPr>
          <w:szCs w:val="28"/>
        </w:rPr>
        <w:t xml:space="preserve"> </w:t>
      </w:r>
      <w:r>
        <w:rPr>
          <w:szCs w:val="28"/>
        </w:rPr>
        <w:t>П</w:t>
      </w:r>
      <w:r w:rsidRPr="008213E4">
        <w:rPr>
          <w:szCs w:val="28"/>
        </w:rPr>
        <w:t xml:space="preserve">оказатели эффективности использования </w:t>
      </w:r>
      <w:r>
        <w:rPr>
          <w:szCs w:val="28"/>
        </w:rPr>
        <w:t>оборотных средств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3711"/>
        <w:gridCol w:w="2933"/>
      </w:tblGrid>
      <w:tr w:rsidR="008A3EA0" w:rsidRPr="00716892" w14:paraId="412DCC79" w14:textId="77777777" w:rsidTr="008A3EA0">
        <w:trPr>
          <w:trHeight w:val="70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227C0196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Наименование</w:t>
            </w:r>
          </w:p>
          <w:p w14:paraId="0A55AC3D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показателя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13BD6459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Методика расчета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14:paraId="63BF690C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Экономическая значимость</w:t>
            </w:r>
          </w:p>
        </w:tc>
      </w:tr>
      <w:tr w:rsidR="008A3EA0" w:rsidRPr="00716892" w14:paraId="7C07059B" w14:textId="77777777" w:rsidTr="008A3EA0">
        <w:trPr>
          <w:trHeight w:val="285"/>
        </w:trPr>
        <w:tc>
          <w:tcPr>
            <w:tcW w:w="2584" w:type="dxa"/>
            <w:vAlign w:val="center"/>
          </w:tcPr>
          <w:p w14:paraId="150A1301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br w:type="page"/>
              <w:t>Скорость обращения оборотных активов (С</w:t>
            </w:r>
            <w:r w:rsidRPr="00716892">
              <w:rPr>
                <w:sz w:val="24"/>
                <w:vertAlign w:val="subscript"/>
              </w:rPr>
              <w:t>ОБА</w:t>
            </w:r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vAlign w:val="center"/>
          </w:tcPr>
          <w:p w14:paraId="3E87C70F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Выручка от реализации / средняя величина оборотных активов</w:t>
            </w:r>
          </w:p>
        </w:tc>
        <w:tc>
          <w:tcPr>
            <w:tcW w:w="2933" w:type="dxa"/>
          </w:tcPr>
          <w:p w14:paraId="79EC5F0A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Показывает, сколько рублей выручки приносит в среднем каждый рубль финансовых ресурсов, авансированных в оборотные активы</w:t>
            </w:r>
          </w:p>
        </w:tc>
      </w:tr>
      <w:tr w:rsidR="008A3EA0" w:rsidRPr="00716892" w14:paraId="6D7743F3" w14:textId="77777777" w:rsidTr="008A3EA0">
        <w:trPr>
          <w:trHeight w:val="28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F8A1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t>Время обращения оборотных активов (</w:t>
            </w:r>
            <w:proofErr w:type="spellStart"/>
            <w:r w:rsidRPr="00716892">
              <w:rPr>
                <w:i/>
                <w:sz w:val="24"/>
              </w:rPr>
              <w:t>t</w:t>
            </w:r>
            <w:r w:rsidRPr="00716892">
              <w:rPr>
                <w:sz w:val="24"/>
                <w:vertAlign w:val="subscript"/>
              </w:rPr>
              <w:t>ОБА</w:t>
            </w:r>
            <w:proofErr w:type="spellEnd"/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2EE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Средняя величина оборотных средств / выручка ∙  кол-во дней в периоде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128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Показывает среднюю продолжительность периода нахождения финансовых ресурсов в оборотных активах</w:t>
            </w:r>
          </w:p>
        </w:tc>
      </w:tr>
      <w:tr w:rsidR="008A3EA0" w:rsidRPr="00716892" w14:paraId="3FC013AF" w14:textId="77777777" w:rsidTr="008A3EA0">
        <w:trPr>
          <w:trHeight w:val="28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8DE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t>Коэффициент закрепления оборотных средств(</w:t>
            </w:r>
            <w:proofErr w:type="spellStart"/>
            <w:r w:rsidRPr="00716892">
              <w:rPr>
                <w:i/>
                <w:sz w:val="24"/>
              </w:rPr>
              <w:t>t</w:t>
            </w:r>
            <w:r w:rsidRPr="00716892">
              <w:rPr>
                <w:sz w:val="24"/>
                <w:vertAlign w:val="subscript"/>
              </w:rPr>
              <w:t>ОБА</w:t>
            </w:r>
            <w:proofErr w:type="spellEnd"/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CC3A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 xml:space="preserve">Средняя величина оборотных средств / выручка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B407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Показывает среднюю оборотных средств на каждый рубль выручки</w:t>
            </w:r>
          </w:p>
        </w:tc>
      </w:tr>
    </w:tbl>
    <w:p w14:paraId="5AD005B4" w14:textId="77777777" w:rsidR="008A3EA0" w:rsidRDefault="008A3EA0"/>
    <w:p w14:paraId="7E8535DC" w14:textId="77777777" w:rsidR="008A3EA0" w:rsidRDefault="008A3EA0">
      <w:pPr>
        <w:spacing w:after="160" w:line="259" w:lineRule="auto"/>
        <w:ind w:firstLine="0"/>
        <w:jc w:val="left"/>
      </w:pPr>
      <w:r>
        <w:br w:type="page"/>
      </w:r>
    </w:p>
    <w:p w14:paraId="521A0AB8" w14:textId="7977A86C" w:rsidR="008A3EA0" w:rsidRDefault="008A3EA0">
      <w:r>
        <w:lastRenderedPageBreak/>
        <w:t>Окончание таблицы 2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3711"/>
        <w:gridCol w:w="2933"/>
      </w:tblGrid>
      <w:tr w:rsidR="008A3EA0" w:rsidRPr="00716892" w14:paraId="055612C0" w14:textId="77777777" w:rsidTr="008A3EA0">
        <w:trPr>
          <w:trHeight w:val="70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0792AAFF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Наименование</w:t>
            </w:r>
          </w:p>
          <w:p w14:paraId="20B69B55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показателя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1871C32E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Методика расчета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14:paraId="5F597122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Экономическая значимость</w:t>
            </w:r>
          </w:p>
        </w:tc>
      </w:tr>
      <w:tr w:rsidR="008A3EA0" w:rsidRPr="00716892" w14:paraId="0F494FC7" w14:textId="77777777" w:rsidTr="008A3EA0">
        <w:trPr>
          <w:trHeight w:val="285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46C001AF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t>Средний срок погашения дебиторской задолженности (</w:t>
            </w:r>
            <w:r w:rsidRPr="00716892">
              <w:rPr>
                <w:sz w:val="24"/>
                <w:lang w:val="en-US"/>
              </w:rPr>
              <w:t>t</w:t>
            </w:r>
            <w:r w:rsidRPr="00716892">
              <w:rPr>
                <w:sz w:val="24"/>
                <w:vertAlign w:val="subscript"/>
              </w:rPr>
              <w:t>ДЗ</w:t>
            </w:r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tcBorders>
              <w:bottom w:val="single" w:sz="4" w:space="0" w:color="auto"/>
            </w:tcBorders>
            <w:vAlign w:val="center"/>
          </w:tcPr>
          <w:p w14:paraId="4F0D70A3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Средняя величина дебиторской задолженности / выручка от реализации (или оборот по погашению дебиторской задолженности) ∙ кол-во дней в периоде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14:paraId="51A703CA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Показывает среднюю продолжительность периода отвлечения финансовых ресурсов из оборота предприятия в расчетах с дебиторами</w:t>
            </w:r>
          </w:p>
        </w:tc>
      </w:tr>
      <w:tr w:rsidR="008A3EA0" w:rsidRPr="00716892" w14:paraId="1FC96310" w14:textId="77777777" w:rsidTr="008A3EA0">
        <w:trPr>
          <w:trHeight w:val="28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E48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t>Время обращения запасов (</w:t>
            </w:r>
            <w:proofErr w:type="spellStart"/>
            <w:r w:rsidRPr="00716892">
              <w:rPr>
                <w:i/>
                <w:sz w:val="24"/>
              </w:rPr>
              <w:t>t</w:t>
            </w:r>
            <w:r w:rsidRPr="00716892">
              <w:rPr>
                <w:sz w:val="24"/>
                <w:vertAlign w:val="subscript"/>
              </w:rPr>
              <w:t>З</w:t>
            </w:r>
            <w:proofErr w:type="spellEnd"/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4158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Средняя величина запасов / расходы от обычных видов деятельности ∙  кол-во дней в периоде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7DC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Показывает среднюю продолжительность периода нахождения финансовых ресурсов в запасах на складе</w:t>
            </w:r>
          </w:p>
        </w:tc>
      </w:tr>
      <w:tr w:rsidR="008A3EA0" w:rsidRPr="00716892" w14:paraId="05650F56" w14:textId="77777777" w:rsidTr="008A3EA0">
        <w:trPr>
          <w:trHeight w:val="28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2E0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t>Отдача/доходность финансовых вложений (О</w:t>
            </w:r>
            <w:r w:rsidRPr="00716892">
              <w:rPr>
                <w:sz w:val="24"/>
                <w:vertAlign w:val="subscript"/>
              </w:rPr>
              <w:t>ФВ</w:t>
            </w:r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987C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Проценты к получению  / средняя величина финансовых вложений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8DDC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Характеризует экономическую отдачу финансовых ресурсов, капитализированных в форме финансовых вложений</w:t>
            </w:r>
          </w:p>
        </w:tc>
      </w:tr>
      <w:tr w:rsidR="008A3EA0" w:rsidRPr="00716892" w14:paraId="4559DE68" w14:textId="77777777" w:rsidTr="008A3EA0">
        <w:trPr>
          <w:trHeight w:val="285"/>
        </w:trPr>
        <w:tc>
          <w:tcPr>
            <w:tcW w:w="2584" w:type="dxa"/>
            <w:vAlign w:val="center"/>
          </w:tcPr>
          <w:p w14:paraId="110A04A0" w14:textId="77777777" w:rsidR="008A3EA0" w:rsidRPr="00716892" w:rsidRDefault="008A3EA0" w:rsidP="001D7EE5">
            <w:pPr>
              <w:spacing w:line="240" w:lineRule="auto"/>
              <w:ind w:left="-11" w:firstLineChars="2" w:firstLine="5"/>
              <w:rPr>
                <w:sz w:val="24"/>
              </w:rPr>
            </w:pPr>
            <w:r w:rsidRPr="00716892">
              <w:rPr>
                <w:sz w:val="24"/>
              </w:rPr>
              <w:br w:type="page"/>
              <w:t>Рентабельность оборотных активов (</w:t>
            </w:r>
            <w:r w:rsidRPr="00716892">
              <w:rPr>
                <w:sz w:val="24"/>
                <w:lang w:val="en-US"/>
              </w:rPr>
              <w:t>R</w:t>
            </w:r>
            <w:r w:rsidRPr="00716892">
              <w:rPr>
                <w:sz w:val="24"/>
                <w:vertAlign w:val="subscript"/>
              </w:rPr>
              <w:t>ОБА</w:t>
            </w:r>
            <w:r w:rsidRPr="00716892">
              <w:rPr>
                <w:sz w:val="24"/>
              </w:rPr>
              <w:t>)</w:t>
            </w:r>
          </w:p>
        </w:tc>
        <w:tc>
          <w:tcPr>
            <w:tcW w:w="3711" w:type="dxa"/>
            <w:vAlign w:val="center"/>
          </w:tcPr>
          <w:p w14:paraId="4860324F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Чистая прибыль / средняя величина оборотных активов ∙ 100%</w:t>
            </w:r>
          </w:p>
        </w:tc>
        <w:tc>
          <w:tcPr>
            <w:tcW w:w="2933" w:type="dxa"/>
          </w:tcPr>
          <w:p w14:paraId="2D76E5C7" w14:textId="77777777" w:rsidR="008A3EA0" w:rsidRPr="00716892" w:rsidRDefault="008A3EA0" w:rsidP="001D7EE5">
            <w:pPr>
              <w:spacing w:line="240" w:lineRule="auto"/>
              <w:ind w:left="-11" w:firstLineChars="2" w:firstLine="5"/>
              <w:jc w:val="center"/>
              <w:rPr>
                <w:sz w:val="24"/>
              </w:rPr>
            </w:pPr>
            <w:r w:rsidRPr="00716892">
              <w:rPr>
                <w:sz w:val="24"/>
              </w:rPr>
              <w:t>Показывает, сколько рублей чистой прибыли приносит в среднем каждый рубль финансовых ресурсов, авансированных в оборотные активы</w:t>
            </w:r>
          </w:p>
        </w:tc>
      </w:tr>
    </w:tbl>
    <w:p w14:paraId="0E60FD88" w14:textId="77777777" w:rsidR="00B75AA6" w:rsidRDefault="00B75AA6"/>
    <w:sectPr w:rsidR="00B7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6BB337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707140E"/>
    <w:multiLevelType w:val="hybridMultilevel"/>
    <w:tmpl w:val="1736D39C"/>
    <w:lvl w:ilvl="0" w:tplc="339C6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A0"/>
    <w:rsid w:val="008A3EA0"/>
    <w:rsid w:val="008C2D00"/>
    <w:rsid w:val="00B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0BCA"/>
  <w15:chartTrackingRefBased/>
  <w15:docId w15:val="{D6EEE2B4-05DC-46D4-891D-F0A333A5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EA0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EA0"/>
    <w:pPr>
      <w:spacing w:line="240" w:lineRule="auto"/>
      <w:ind w:left="720"/>
      <w:contextualSpacing/>
    </w:pPr>
    <w:rPr>
      <w:sz w:val="24"/>
    </w:rPr>
  </w:style>
  <w:style w:type="paragraph" w:styleId="3">
    <w:name w:val="Body Text Indent 3"/>
    <w:basedOn w:val="a"/>
    <w:link w:val="30"/>
    <w:uiPriority w:val="99"/>
    <w:unhideWhenUsed/>
    <w:rsid w:val="008A3EA0"/>
    <w:pPr>
      <w:spacing w:after="120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3E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Дягель</dc:creator>
  <cp:keywords/>
  <dc:description/>
  <cp:lastModifiedBy>Оксана Дягель</cp:lastModifiedBy>
  <cp:revision>2</cp:revision>
  <dcterms:created xsi:type="dcterms:W3CDTF">2020-09-14T03:52:00Z</dcterms:created>
  <dcterms:modified xsi:type="dcterms:W3CDTF">2020-09-14T03:57:00Z</dcterms:modified>
</cp:coreProperties>
</file>